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outlineLvl w:val="1"/>
        <w:rPr>
          <w:rFonts w:hint="eastAsia" w:ascii="宋体" w:hAnsi="宋体" w:cs="宋体"/>
          <w:bCs/>
          <w:color w:val="000000"/>
          <w:kern w:val="36"/>
          <w:sz w:val="44"/>
          <w:szCs w:val="44"/>
        </w:rPr>
      </w:pPr>
      <w:r>
        <w:rPr>
          <w:rFonts w:hint="eastAsia" w:ascii="宋体" w:hAnsi="宋体" w:cs="宋体"/>
          <w:bCs/>
          <w:color w:val="000000"/>
          <w:kern w:val="36"/>
          <w:sz w:val="44"/>
          <w:szCs w:val="44"/>
        </w:rPr>
        <w:t>罗湖区经济高质量发展专项资金扶持</w:t>
      </w:r>
    </w:p>
    <w:p>
      <w:pPr>
        <w:widowControl/>
        <w:spacing w:line="520" w:lineRule="exact"/>
        <w:jc w:val="center"/>
        <w:outlineLvl w:val="1"/>
        <w:rPr>
          <w:rFonts w:hint="eastAsia" w:ascii="宋体" w:hAnsi="宋体" w:cs="宋体"/>
          <w:bCs/>
          <w:color w:val="000000"/>
          <w:kern w:val="36"/>
          <w:sz w:val="44"/>
          <w:szCs w:val="44"/>
        </w:rPr>
      </w:pPr>
      <w:r>
        <w:rPr>
          <w:rFonts w:hint="eastAsia" w:ascii="宋体" w:hAnsi="宋体" w:cs="宋体"/>
          <w:bCs/>
          <w:color w:val="000000"/>
          <w:kern w:val="36"/>
          <w:sz w:val="44"/>
          <w:szCs w:val="44"/>
        </w:rPr>
        <w:t>招商引资实施细则</w:t>
      </w:r>
    </w:p>
    <w:p>
      <w:pPr>
        <w:widowControl/>
        <w:spacing w:line="520" w:lineRule="exact"/>
        <w:jc w:val="center"/>
        <w:outlineLvl w:val="1"/>
        <w:rPr>
          <w:rFonts w:hint="eastAsia" w:ascii="黑体" w:hAnsi="仿宋" w:eastAsia="黑体" w:cs="宋体"/>
          <w:bCs/>
          <w:color w:val="000000"/>
          <w:kern w:val="36"/>
          <w:sz w:val="32"/>
          <w:szCs w:val="32"/>
          <w:lang w:eastAsia="zh-CN"/>
        </w:rPr>
      </w:pPr>
      <w:r>
        <w:rPr>
          <w:rFonts w:hint="eastAsia" w:ascii="黑体" w:hAnsi="仿宋" w:eastAsia="黑体" w:cs="宋体"/>
          <w:bCs/>
          <w:color w:val="000000"/>
          <w:kern w:val="36"/>
          <w:sz w:val="32"/>
          <w:szCs w:val="32"/>
          <w:lang w:eastAsia="zh-CN"/>
        </w:rPr>
        <w:t>（征求意见稿</w:t>
      </w:r>
      <w:bookmarkStart w:id="0" w:name="_GoBack"/>
      <w:bookmarkEnd w:id="0"/>
      <w:r>
        <w:rPr>
          <w:rFonts w:hint="eastAsia" w:ascii="黑体" w:hAnsi="仿宋" w:eastAsia="黑体" w:cs="宋体"/>
          <w:bCs/>
          <w:color w:val="000000"/>
          <w:kern w:val="36"/>
          <w:sz w:val="32"/>
          <w:szCs w:val="32"/>
          <w:lang w:eastAsia="zh-CN"/>
        </w:rPr>
        <w:t>）</w:t>
      </w:r>
    </w:p>
    <w:p>
      <w:pPr>
        <w:pStyle w:val="2"/>
        <w:spacing w:line="580" w:lineRule="exact"/>
        <w:rPr>
          <w:rFonts w:ascii="仿宋_GB2312" w:hAnsi="仿宋_GB2312" w:eastAsia="仿宋_GB2312" w:cs="仿宋_GB2312"/>
          <w:sz w:val="32"/>
          <w:szCs w:val="32"/>
        </w:rPr>
      </w:pPr>
    </w:p>
    <w:p>
      <w:pPr>
        <w:spacing w:line="580" w:lineRule="exact"/>
        <w:jc w:val="center"/>
        <w:outlineLvl w:val="1"/>
        <w:rPr>
          <w:rFonts w:ascii="黑体" w:hAnsi="黑体" w:eastAsia="黑体" w:cs="黑体"/>
          <w:kern w:val="36"/>
          <w:sz w:val="32"/>
          <w:szCs w:val="32"/>
        </w:rPr>
      </w:pPr>
      <w:r>
        <w:rPr>
          <w:rFonts w:hint="eastAsia" w:ascii="黑体" w:hAnsi="黑体" w:eastAsia="黑体" w:cs="黑体"/>
          <w:kern w:val="36"/>
          <w:sz w:val="32"/>
          <w:szCs w:val="32"/>
        </w:rPr>
        <w:t>第一章 总  则</w:t>
      </w:r>
    </w:p>
    <w:p>
      <w:pPr>
        <w:spacing w:line="580" w:lineRule="exact"/>
        <w:ind w:firstLine="640" w:firstLineChars="200"/>
        <w:rPr>
          <w:rFonts w:ascii="仿宋_GB2312" w:hAnsi="仿宋_GB2312" w:eastAsia="仿宋_GB2312" w:cs="仿宋_GB2312"/>
          <w:kern w:val="36"/>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抢抓粤港澳大湾区和中国特色社会主义先行示范区“双区驱动”的重大历史机遇，营造良好的投资营商环境，拓宽招商引资渠道，加快引进优质企业和项目，根据《罗湖区经济高质量发展专项资金管理办法》，制定本实施细则。</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本实施细则扶持范围包括：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相关认定标准的总部经济、金融业、商贸业、商务服务业、工业、黄金珠宝、文化及相关产业、旅游业、科技创新等领域的新迁入或新设立企业（机构、项目），且在罗湖区依法生产经营，依法纳税或纳入辖区统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（二）对集聚产业资源、引进优质企业（机构）起到重大作用的行业性社团组织、专业机构等。</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36"/>
          <w:sz w:val="32"/>
          <w:szCs w:val="32"/>
        </w:rPr>
        <w:t>符合本区发展战略和产业规划，具有重大产业支撑作用的，经区政府批准，与区政府签订合作协议的企业。</w:t>
      </w:r>
    </w:p>
    <w:p>
      <w:pPr>
        <w:pStyle w:val="2"/>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kern w:val="36"/>
          <w:sz w:val="32"/>
          <w:szCs w:val="32"/>
        </w:rPr>
        <w:t xml:space="preserve"> 申请本实施细则扶持的</w:t>
      </w:r>
      <w:r>
        <w:rPr>
          <w:rFonts w:hint="eastAsia" w:ascii="仿宋_GB2312" w:hAnsi="仿宋_GB2312" w:eastAsia="仿宋_GB2312" w:cs="仿宋_GB2312"/>
          <w:sz w:val="32"/>
          <w:szCs w:val="32"/>
        </w:rPr>
        <w:t>企业（机构、项目）每年获得的扶持总额原则上不超过该企业（机构、项目）上一年度的</w:t>
      </w:r>
      <w:r>
        <w:rPr>
          <w:rFonts w:hint="eastAsia" w:ascii="仿宋_GB2312" w:hAnsi="仿宋_GB2312" w:eastAsia="仿宋_GB2312" w:cs="仿宋_GB2312"/>
          <w:kern w:val="36"/>
          <w:sz w:val="32"/>
          <w:szCs w:val="32"/>
        </w:rPr>
        <w:t>罗湖区</w:t>
      </w:r>
      <w:r>
        <w:rPr>
          <w:rFonts w:hint="eastAsia" w:ascii="仿宋_GB2312" w:hAnsi="仿宋_GB2312" w:eastAsia="仿宋_GB2312" w:cs="仿宋_GB2312"/>
          <w:sz w:val="32"/>
          <w:szCs w:val="32"/>
        </w:rPr>
        <w:t>财政贡献。另有规定的除外。</w:t>
      </w:r>
    </w:p>
    <w:p>
      <w:pPr>
        <w:pStyle w:val="2"/>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本实施细则相关条款由区各相关部门负责实施和解释。以项目落户全流程服务为原则，项目跟进部门即为相关条款受理部门。</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跟进部门的项目，以项目所属行业为原则，行业的主管部门即为相关条款受理部门。区工业和信息化局负责受理商贸业、商务服务业、工业、黄金珠宝等产业项目；区科技创新局负责受理科技创新产业项目；区文化广电旅游体育局负责受理旅游业、文化及相关产业项目；区金融服务署负责受理金融业项目。</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所属行业不属于上述部门主管的项目，区企业服务中心为相关条款受理部门。</w:t>
      </w:r>
    </w:p>
    <w:p>
      <w:pPr>
        <w:spacing w:line="580" w:lineRule="exact"/>
        <w:rPr>
          <w:rFonts w:ascii="仿宋_GB2312" w:hAnsi="仿宋_GB2312" w:eastAsia="仿宋_GB2312" w:cs="仿宋_GB2312"/>
          <w:kern w:val="36"/>
          <w:sz w:val="32"/>
          <w:szCs w:val="32"/>
        </w:rPr>
      </w:pPr>
    </w:p>
    <w:p>
      <w:pPr>
        <w:spacing w:line="580" w:lineRule="exact"/>
        <w:jc w:val="center"/>
        <w:outlineLvl w:val="1"/>
        <w:rPr>
          <w:rFonts w:ascii="黑体" w:hAnsi="黑体" w:eastAsia="黑体" w:cs="黑体"/>
          <w:kern w:val="36"/>
          <w:sz w:val="32"/>
          <w:szCs w:val="32"/>
        </w:rPr>
      </w:pPr>
      <w:r>
        <w:rPr>
          <w:rFonts w:hint="eastAsia" w:ascii="黑体" w:hAnsi="黑体" w:eastAsia="黑体" w:cs="黑体"/>
          <w:kern w:val="36"/>
          <w:sz w:val="32"/>
          <w:szCs w:val="32"/>
        </w:rPr>
        <w:t>第二章 扶持内容</w:t>
      </w:r>
    </w:p>
    <w:p>
      <w:pPr>
        <w:spacing w:line="580" w:lineRule="exact"/>
        <w:jc w:val="center"/>
        <w:rPr>
          <w:rFonts w:ascii="楷体_GB2312" w:hAnsi="楷体_GB2312" w:eastAsia="楷体_GB2312" w:cs="楷体_GB2312"/>
          <w:kern w:val="36"/>
          <w:sz w:val="32"/>
          <w:szCs w:val="32"/>
        </w:rPr>
      </w:pPr>
      <w:r>
        <w:rPr>
          <w:rFonts w:hint="eastAsia" w:ascii="楷体_GB2312" w:hAnsi="楷体_GB2312" w:eastAsia="楷体_GB2312" w:cs="楷体_GB2312"/>
          <w:kern w:val="36"/>
          <w:sz w:val="32"/>
          <w:szCs w:val="32"/>
        </w:rPr>
        <w:t>第一节 扶持重点企业发展</w:t>
      </w:r>
    </w:p>
    <w:p>
      <w:pPr>
        <w:spacing w:line="580" w:lineRule="exact"/>
        <w:ind w:firstLine="640" w:firstLineChars="200"/>
        <w:rPr>
          <w:rFonts w:ascii="仿宋_GB2312" w:hAnsi="仿宋_GB2312" w:eastAsia="仿宋_GB2312" w:cs="仿宋_GB2312"/>
          <w:kern w:val="36"/>
          <w:sz w:val="32"/>
          <w:szCs w:val="32"/>
        </w:rPr>
      </w:pPr>
      <w:r>
        <w:rPr>
          <w:rFonts w:hint="eastAsia" w:ascii="黑体" w:hAnsi="黑体" w:eastAsia="黑体" w:cs="黑体"/>
          <w:sz w:val="32"/>
          <w:szCs w:val="32"/>
        </w:rPr>
        <w:t>第五条</w:t>
      </w:r>
      <w:r>
        <w:rPr>
          <w:rFonts w:hint="eastAsia" w:ascii="仿宋_GB2312" w:hAnsi="仿宋_GB2312" w:eastAsia="仿宋_GB2312" w:cs="仿宋_GB2312"/>
          <w:kern w:val="36"/>
          <w:sz w:val="32"/>
          <w:szCs w:val="32"/>
        </w:rPr>
        <w:t xml:space="preserve"> 大力引进总部企业。</w:t>
      </w:r>
      <w:r>
        <w:rPr>
          <w:rFonts w:hint="eastAsia" w:ascii="仿宋_GB2312" w:hAnsi="仿宋_GB2312" w:eastAsia="仿宋_GB2312" w:cs="仿宋_GB2312"/>
          <w:kern w:val="0"/>
          <w:sz w:val="32"/>
          <w:szCs w:val="32"/>
        </w:rPr>
        <w:t>聚焦世界500强、中国500强、上市公司、央企总部或其投资的企业、项目，以及领军民企总部项目等。</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自2019年1月1日起，上一年度综合贡献和纳入罗湖区统计核算的产值规模（营业收入）符合以下三种情形之一的新迁入或新设立企业，可享受本条扶持奖励。</w:t>
      </w:r>
    </w:p>
    <w:tbl>
      <w:tblPr>
        <w:tblStyle w:val="7"/>
        <w:tblW w:w="92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0"/>
        <w:gridCol w:w="427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0" w:type="dxa"/>
            <w:tcBorders>
              <w:right w:val="single" w:color="auto" w:sz="4" w:space="0"/>
            </w:tcBorders>
            <w:vAlign w:val="center"/>
          </w:tcPr>
          <w:p>
            <w:pPr>
              <w:spacing w:line="580" w:lineRule="exact"/>
              <w:jc w:val="center"/>
              <w:outlineLvl w:val="1"/>
              <w:rPr>
                <w:rFonts w:ascii="黑体" w:hAnsi="黑体" w:eastAsia="黑体" w:cs="黑体"/>
                <w:kern w:val="36"/>
                <w:sz w:val="28"/>
                <w:szCs w:val="28"/>
              </w:rPr>
            </w:pPr>
            <w:r>
              <w:rPr>
                <w:rFonts w:hint="eastAsia" w:ascii="黑体" w:hAnsi="黑体" w:eastAsia="黑体" w:cs="黑体"/>
                <w:kern w:val="36"/>
                <w:sz w:val="28"/>
                <w:szCs w:val="28"/>
              </w:rPr>
              <w:t>情形</w:t>
            </w:r>
          </w:p>
        </w:tc>
        <w:tc>
          <w:tcPr>
            <w:tcW w:w="4270" w:type="dxa"/>
            <w:tcBorders>
              <w:left w:val="single" w:color="auto" w:sz="4" w:space="0"/>
            </w:tcBorders>
            <w:vAlign w:val="center"/>
          </w:tcPr>
          <w:p>
            <w:pPr>
              <w:spacing w:line="580" w:lineRule="exact"/>
              <w:jc w:val="center"/>
              <w:outlineLvl w:val="1"/>
              <w:rPr>
                <w:rFonts w:ascii="黑体" w:hAnsi="黑体" w:eastAsia="黑体" w:cs="黑体"/>
                <w:kern w:val="36"/>
                <w:sz w:val="28"/>
                <w:szCs w:val="28"/>
              </w:rPr>
            </w:pPr>
            <w:r>
              <w:rPr>
                <w:rFonts w:hint="eastAsia" w:ascii="黑体" w:hAnsi="黑体" w:eastAsia="黑体" w:cs="黑体"/>
                <w:kern w:val="36"/>
                <w:sz w:val="28"/>
                <w:szCs w:val="28"/>
              </w:rPr>
              <w:t>上一年度综合贡献</w:t>
            </w:r>
          </w:p>
        </w:tc>
        <w:tc>
          <w:tcPr>
            <w:tcW w:w="4143" w:type="dxa"/>
            <w:vAlign w:val="center"/>
          </w:tcPr>
          <w:p>
            <w:pPr>
              <w:spacing w:line="580" w:lineRule="exact"/>
              <w:jc w:val="center"/>
              <w:outlineLvl w:val="1"/>
              <w:rPr>
                <w:rFonts w:ascii="黑体" w:hAnsi="黑体" w:eastAsia="黑体" w:cs="黑体"/>
                <w:kern w:val="36"/>
                <w:sz w:val="28"/>
                <w:szCs w:val="28"/>
              </w:rPr>
            </w:pPr>
            <w:r>
              <w:rPr>
                <w:rFonts w:hint="eastAsia" w:ascii="黑体" w:hAnsi="黑体" w:eastAsia="黑体" w:cs="黑体"/>
                <w:kern w:val="36"/>
                <w:sz w:val="28"/>
                <w:szCs w:val="28"/>
              </w:rPr>
              <w:t>上一年度产值规模（营业收入）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0" w:type="dxa"/>
            <w:tcBorders>
              <w:right w:val="single" w:color="auto" w:sz="4" w:space="0"/>
            </w:tcBorders>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1</w:t>
            </w:r>
          </w:p>
        </w:tc>
        <w:tc>
          <w:tcPr>
            <w:tcW w:w="4270" w:type="dxa"/>
            <w:tcBorders>
              <w:left w:val="single" w:color="auto" w:sz="4" w:space="0"/>
            </w:tcBorders>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1000万元以上-1500万元以下</w:t>
            </w:r>
          </w:p>
        </w:tc>
        <w:tc>
          <w:tcPr>
            <w:tcW w:w="4143" w:type="dxa"/>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1亿元以上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0" w:type="dxa"/>
            <w:tcBorders>
              <w:right w:val="single" w:color="auto" w:sz="4" w:space="0"/>
            </w:tcBorders>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2</w:t>
            </w:r>
          </w:p>
        </w:tc>
        <w:tc>
          <w:tcPr>
            <w:tcW w:w="4270" w:type="dxa"/>
            <w:tcBorders>
              <w:left w:val="single" w:color="auto" w:sz="4" w:space="0"/>
            </w:tcBorders>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1500万元以上-2000万元以下</w:t>
            </w:r>
          </w:p>
        </w:tc>
        <w:tc>
          <w:tcPr>
            <w:tcW w:w="4143" w:type="dxa"/>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5000万元以上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0" w:type="dxa"/>
            <w:tcBorders>
              <w:right w:val="single" w:color="auto" w:sz="4" w:space="0"/>
            </w:tcBorders>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3</w:t>
            </w:r>
          </w:p>
        </w:tc>
        <w:tc>
          <w:tcPr>
            <w:tcW w:w="4270" w:type="dxa"/>
            <w:tcBorders>
              <w:left w:val="single" w:color="auto" w:sz="4" w:space="0"/>
            </w:tcBorders>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2000万元以上</w:t>
            </w:r>
          </w:p>
        </w:tc>
        <w:tc>
          <w:tcPr>
            <w:tcW w:w="4143" w:type="dxa"/>
            <w:vAlign w:val="center"/>
          </w:tcPr>
          <w:p>
            <w:pPr>
              <w:spacing w:line="580" w:lineRule="exact"/>
              <w:jc w:val="center"/>
              <w:outlineLvl w:val="1"/>
              <w:rPr>
                <w:rFonts w:ascii="仿宋_GB2312" w:hAnsi="仿宋_GB2312" w:eastAsia="仿宋_GB2312" w:cs="仿宋_GB2312"/>
                <w:kern w:val="36"/>
                <w:sz w:val="28"/>
                <w:szCs w:val="28"/>
              </w:rPr>
            </w:pPr>
            <w:r>
              <w:rPr>
                <w:rFonts w:hint="eastAsia" w:ascii="仿宋_GB2312" w:hAnsi="仿宋_GB2312" w:eastAsia="仿宋_GB2312" w:cs="仿宋_GB2312"/>
                <w:kern w:val="36"/>
                <w:sz w:val="28"/>
                <w:szCs w:val="28"/>
              </w:rPr>
              <w:t>——</w:t>
            </w:r>
          </w:p>
        </w:tc>
      </w:tr>
    </w:tbl>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（一）总部企业落户奖励。按上一年度罗湖区财政贡献的一定比例享受一次性落户扶持，最高不超过1000万元。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（二）管理团队经营奖励。</w:t>
      </w:r>
      <w:r>
        <w:rPr>
          <w:rFonts w:hint="eastAsia" w:ascii="仿宋_GB2312" w:hAnsi="仿宋_GB2312" w:eastAsia="仿宋_GB2312" w:cs="仿宋_GB2312"/>
          <w:kern w:val="36"/>
          <w:sz w:val="32"/>
          <w:szCs w:val="32"/>
        </w:rPr>
        <w:t>按上一年度罗湖区财政贡献的一定比例给予一次性经营奖励。</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三）降低总部企业办公用房购置成本。上一年度综合贡献2000万元以上的新迁入或新设立企业，在罗湖区新购置自用办公用房，按照购房价格的一定比例可享受最高不超过8000万元的一次性购房扶持，平均分5年支付。所购房屋在企业享受购房扶持期间不得转让，且自用面积不低于50%，剩余面积如需出租，承租对象应符合罗湖区产业规划导向，且提前在相关产业主管部门备案。</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（四）降低</w:t>
      </w:r>
      <w:r>
        <w:rPr>
          <w:rFonts w:hint="eastAsia" w:ascii="仿宋_GB2312" w:hAnsi="仿宋_GB2312" w:eastAsia="仿宋_GB2312" w:cs="仿宋_GB2312"/>
          <w:kern w:val="36"/>
          <w:sz w:val="32"/>
          <w:szCs w:val="32"/>
        </w:rPr>
        <w:t>总部企业办公用房租赁成本。企业在罗湖区新租赁合同期3年以上的自用办公用房，自签订租赁合同之日起前3年每年按照上一年度实际租金的一定比例给予扶持，</w:t>
      </w:r>
      <w:r>
        <w:rPr>
          <w:rFonts w:hint="eastAsia" w:ascii="仿宋_GB2312" w:hAnsi="仿宋_GB2312" w:eastAsia="仿宋_GB2312" w:cs="仿宋_GB2312"/>
          <w:sz w:val="32"/>
          <w:szCs w:val="32"/>
        </w:rPr>
        <w:t>每年支付金额不超过上一年度罗湖区财政贡献的一定比例</w:t>
      </w:r>
      <w:r>
        <w:rPr>
          <w:rFonts w:hint="eastAsia" w:ascii="仿宋_GB2312" w:hAnsi="仿宋_GB2312" w:eastAsia="仿宋_GB2312" w:cs="仿宋_GB2312"/>
          <w:kern w:val="36"/>
          <w:sz w:val="32"/>
          <w:szCs w:val="32"/>
        </w:rPr>
        <w:t>。</w:t>
      </w:r>
      <w:r>
        <w:rPr>
          <w:rFonts w:hint="eastAsia" w:ascii="仿宋_GB2312" w:hAnsi="仿宋_GB2312" w:eastAsia="仿宋_GB2312" w:cs="仿宋_GB2312"/>
          <w:sz w:val="32"/>
          <w:szCs w:val="32"/>
        </w:rPr>
        <w:t>所租房屋在企业享受租房扶持期间不得转租</w:t>
      </w:r>
      <w:r>
        <w:rPr>
          <w:rFonts w:hint="eastAsia" w:ascii="仿宋_GB2312" w:hAnsi="仿宋_GB2312" w:eastAsia="仿宋_GB2312" w:cs="仿宋_GB2312"/>
          <w:kern w:val="36"/>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kern w:val="36"/>
          <w:sz w:val="32"/>
          <w:szCs w:val="32"/>
        </w:rPr>
        <w:t xml:space="preserve"> 大力引进金融机构。自2019年1月1日起，新迁入或新设立的金融机构，可享受如下扶持。其中</w:t>
      </w:r>
      <w:r>
        <w:rPr>
          <w:rFonts w:hint="eastAsia" w:ascii="仿宋_GB2312" w:hAnsi="仿宋_GB2312" w:eastAsia="仿宋_GB2312" w:cs="仿宋_GB2312"/>
          <w:sz w:val="32"/>
          <w:szCs w:val="32"/>
        </w:rPr>
        <w:t>持牌金融机构所获得的扶持金额不受综合贡献和罗湖区财政贡献限制。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（一）鼓励金融机构</w:t>
      </w:r>
      <w:r>
        <w:rPr>
          <w:rFonts w:hint="eastAsia" w:ascii="仿宋_GB2312" w:hAnsi="仿宋_GB2312" w:eastAsia="仿宋_GB2312" w:cs="仿宋_GB2312"/>
          <w:kern w:val="36"/>
          <w:sz w:val="32"/>
          <w:szCs w:val="32"/>
        </w:rPr>
        <w:t>落户罗湖。按持牌</w:t>
      </w:r>
      <w:r>
        <w:rPr>
          <w:rFonts w:hint="eastAsia" w:ascii="仿宋_GB2312" w:hAnsi="仿宋_GB2312" w:eastAsia="仿宋_GB2312" w:cs="仿宋_GB2312"/>
          <w:sz w:val="32"/>
          <w:szCs w:val="32"/>
        </w:rPr>
        <w:t>金融机构的行业分类给予最高5000万元的</w:t>
      </w:r>
      <w:r>
        <w:rPr>
          <w:rFonts w:hint="eastAsia" w:ascii="仿宋_GB2312" w:hAnsi="仿宋_GB2312" w:eastAsia="仿宋_GB2312" w:cs="仿宋_GB2312"/>
          <w:kern w:val="36"/>
          <w:sz w:val="32"/>
          <w:szCs w:val="32"/>
        </w:rPr>
        <w:t>一次性落户奖励</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二）降低金融机构办公用房租赁成本。金融机构在罗湖区新租赁合同期3年以上的自用办公用房，自签订租赁合同之日起前3年按照每年实际租金的一定比例可享受累计最高不超过3000万元的租金扶持，分3年支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（三）经各级监管部门批准或认定的保险中介公司扶持标准为：新迁入的，按照上一年度综合贡献的一定比例给予扶持，累计最高不超过300万元，分3年支付。新注册机构可延后1年按照上述扶持标准进行申请。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期货公司一级分支机构扶持标准为，</w:t>
      </w:r>
      <w:r>
        <w:rPr>
          <w:rFonts w:hint="eastAsia" w:ascii="仿宋_GB2312" w:hAnsi="仿宋_GB2312" w:eastAsia="仿宋_GB2312" w:cs="仿宋_GB2312"/>
          <w:kern w:val="36"/>
          <w:sz w:val="32"/>
          <w:szCs w:val="32"/>
        </w:rPr>
        <w:t>在罗湖区新租赁合同期3年以上的自用办公用房，自签订租赁合同之日起前3年按照每年实际租金的一定比例可享受累计最高不超过</w:t>
      </w:r>
      <w:r>
        <w:rPr>
          <w:rFonts w:hint="eastAsia" w:ascii="仿宋_GB2312" w:hAnsi="仿宋_GB2312" w:eastAsia="仿宋_GB2312" w:cs="仿宋_GB2312"/>
          <w:sz w:val="32"/>
          <w:szCs w:val="32"/>
        </w:rPr>
        <w:t>300万元</w:t>
      </w:r>
      <w:r>
        <w:rPr>
          <w:rFonts w:hint="eastAsia" w:ascii="仿宋_GB2312" w:hAnsi="仿宋_GB2312" w:eastAsia="仿宋_GB2312" w:cs="仿宋_GB2312"/>
          <w:kern w:val="36"/>
          <w:sz w:val="32"/>
          <w:szCs w:val="32"/>
        </w:rPr>
        <w:t>的租金扶持</w:t>
      </w:r>
      <w:r>
        <w:rPr>
          <w:rFonts w:hint="eastAsia" w:ascii="仿宋_GB2312" w:hAnsi="仿宋_GB2312" w:eastAsia="仿宋_GB2312" w:cs="仿宋_GB2312"/>
          <w:sz w:val="32"/>
          <w:szCs w:val="32"/>
        </w:rPr>
        <w:t>，分3年支付。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由金融机构总部发起设立的投资银行中心、金融市场交易中心、金融科技公司、绿色金融公司、供应链金融公司以及其他专营机构等具有独立法人资质的非持牌机构，可参照对应的金融机构总部一级分支机构标准享受落户、租房扶持。</w:t>
      </w:r>
    </w:p>
    <w:p>
      <w:pPr>
        <w:pStyle w:val="2"/>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大力引进科技创新企业</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（一）引进重点科技企业支持。</w:t>
      </w:r>
      <w:r>
        <w:rPr>
          <w:rFonts w:hint="eastAsia" w:ascii="仿宋_GB2312" w:hAnsi="仿宋_GB2312" w:eastAsia="仿宋_GB2312" w:cs="仿宋_GB2312"/>
          <w:kern w:val="36"/>
          <w:sz w:val="32"/>
          <w:szCs w:val="32"/>
        </w:rPr>
        <w:t>引进综合贡献500万以上科技创新类企业，或</w:t>
      </w:r>
      <w:r>
        <w:rPr>
          <w:rFonts w:hint="eastAsia" w:ascii="仿宋_GB2312" w:hAnsi="仿宋_GB2312" w:eastAsia="仿宋_GB2312" w:cs="仿宋_GB2312"/>
          <w:sz w:val="32"/>
          <w:szCs w:val="32"/>
        </w:rPr>
        <w:t>上市企业、行业龙头企业在罗湖注册成立新公司，或经区政府审议通过的重点科技企业，</w:t>
      </w:r>
      <w:r>
        <w:rPr>
          <w:rFonts w:hint="eastAsia" w:ascii="仿宋_GB2312" w:hAnsi="仿宋_GB2312" w:eastAsia="仿宋_GB2312" w:cs="仿宋_GB2312"/>
          <w:kern w:val="36"/>
          <w:sz w:val="32"/>
          <w:szCs w:val="32"/>
        </w:rPr>
        <w:t>按照企业</w:t>
      </w:r>
      <w:r>
        <w:rPr>
          <w:rFonts w:hint="eastAsia" w:ascii="仿宋_GB2312" w:hAnsi="仿宋_GB2312" w:eastAsia="仿宋_GB2312" w:cs="仿宋_GB2312"/>
          <w:sz w:val="32"/>
          <w:szCs w:val="32"/>
        </w:rPr>
        <w:t>落地后年度罗湖财政贡献的一定比例给予支持</w:t>
      </w:r>
      <w:r>
        <w:rPr>
          <w:rFonts w:hint="eastAsia" w:ascii="仿宋_GB2312" w:hAnsi="仿宋_GB2312" w:eastAsia="仿宋_GB2312" w:cs="仿宋_GB2312"/>
          <w:kern w:val="36"/>
          <w:sz w:val="32"/>
          <w:szCs w:val="32"/>
        </w:rPr>
        <w:t>，</w:t>
      </w:r>
      <w:r>
        <w:rPr>
          <w:rFonts w:hint="eastAsia" w:ascii="仿宋_GB2312" w:hAnsi="仿宋_GB2312" w:eastAsia="仿宋_GB2312" w:cs="仿宋_GB2312"/>
          <w:sz w:val="32"/>
          <w:szCs w:val="32"/>
        </w:rPr>
        <w:t>最高连续支持5年，</w:t>
      </w:r>
      <w:r>
        <w:rPr>
          <w:rFonts w:hint="eastAsia" w:ascii="仿宋_GB2312" w:hAnsi="仿宋_GB2312" w:eastAsia="仿宋_GB2312" w:cs="仿宋_GB2312"/>
          <w:kern w:val="36"/>
          <w:sz w:val="32"/>
          <w:szCs w:val="32"/>
        </w:rPr>
        <w:t>年度扶持上限不超过5000万元。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扶持总额包括落地经费支持、办公空间支持、装修经费支持等，在具体执行过程中，根据企业需求，在不超过上述核算依据扶持最高限额条件下，进行具体匹配，可采取5年核算与协议监管相结合方式予以经费前置支持。已享受本款扶持的不再享受本条及罗湖区其他受财政贡献约束的相关扶持。</w:t>
      </w:r>
    </w:p>
    <w:p>
      <w:pPr>
        <w:pStyle w:val="2"/>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重大科技创新项目支持。对引进2019年1月1日后获得国家、省、市科技计划项目、其他重大专项或奖励支持的项目，且经专家评审获得支持项目对罗湖产业规划与布局具有强链补链或支撑作用的，按照国家、省、市资助金额给予1:1配套支持，最高不超过2000万元。对获国、省、市级多层级资助的，按照所获最高资助金额给予配套支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对引进的独角兽企业、准独角兽企业、潜在独角兽企业，按企业已获投资总额的一定比例给予支持，最高不超过5000万元。</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（三）引进其他科技创新类企业支持。对新引进国家高新技术企业给予30万元一次性国高认定支持，该项支持不受财政贡献限制。</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新引进国家高新技术企业或其他已获得持牌金融机构风险投资的科技创新项目，对其自用办公场地租金给予最高不超过一定比例的补贴，年补贴金额最高不超过50万元，支持时间最长不超过三年；按每平方米最高800元给予装修补贴，最高补贴50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新引进经认定的各类高层次人才带项目、带技术、带资金创办的科技创新型企业或新引进创新创业大赛获奖项目，对其自用办公场地租金给予最高不超过一定比例的补贴，年补贴金额最高不超过50万元，支持时间最长不超过三年；按每平方米最高800元给予装修补贴，最高补贴50万元。</w:t>
      </w:r>
    </w:p>
    <w:p>
      <w:pPr>
        <w:pStyle w:val="2"/>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对联合港澳高校创新成果转化机构引进的港澳创新创业项目，经联合评审通过的，给予落地第一年财政贡献一定比例的支持，最高100万元，并对其自用办公空间给予一年全额租房补贴，补贴面积最大不超过300平方米，补贴金额不超过50万元，并按每平方米800元给予装修补贴。</w:t>
      </w:r>
    </w:p>
    <w:p>
      <w:pPr>
        <w:spacing w:line="580" w:lineRule="exact"/>
        <w:ind w:firstLine="640" w:firstLineChars="200"/>
        <w:rPr>
          <w:rFonts w:ascii="仿宋_GB2312" w:hAnsi="仿宋_GB2312" w:eastAsia="仿宋_GB2312" w:cs="仿宋_GB2312"/>
          <w:kern w:val="36"/>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大力引进旅游企业。</w:t>
      </w:r>
      <w:r>
        <w:rPr>
          <w:rFonts w:hint="eastAsia" w:ascii="仿宋_GB2312" w:hAnsi="仿宋_GB2312" w:eastAsia="仿宋_GB2312" w:cs="仿宋_GB2312"/>
          <w:kern w:val="36"/>
          <w:sz w:val="32"/>
          <w:szCs w:val="32"/>
        </w:rPr>
        <w:t>自2019年1月1日起，</w:t>
      </w:r>
      <w:r>
        <w:rPr>
          <w:rFonts w:hint="eastAsia" w:ascii="仿宋_GB2312" w:hAnsi="仿宋_GB2312" w:eastAsia="仿宋_GB2312" w:cs="仿宋_GB2312"/>
          <w:sz w:val="32"/>
          <w:szCs w:val="32"/>
        </w:rPr>
        <w:t>新迁入或新设立的知名旅行社、大型旅游企业、酒店等，</w:t>
      </w:r>
      <w:r>
        <w:rPr>
          <w:rFonts w:hint="eastAsia" w:ascii="仿宋_GB2312" w:hAnsi="仿宋_GB2312" w:eastAsia="仿宋_GB2312" w:cs="仿宋_GB2312"/>
          <w:kern w:val="36"/>
          <w:sz w:val="32"/>
          <w:szCs w:val="32"/>
        </w:rPr>
        <w:t>可享受如下扶持：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36"/>
          <w:sz w:val="32"/>
          <w:szCs w:val="32"/>
        </w:rPr>
        <w:t>（一）鼓励</w:t>
      </w:r>
      <w:r>
        <w:rPr>
          <w:rFonts w:hint="eastAsia" w:ascii="仿宋_GB2312" w:hAnsi="仿宋_GB2312" w:eastAsia="仿宋_GB2312" w:cs="仿宋_GB2312"/>
          <w:sz w:val="32"/>
          <w:szCs w:val="32"/>
        </w:rPr>
        <w:t>知名旅行社、大型旅游企业落户罗湖。上一年度营业收入5亿元以上且在纳入统计后第一个统计年度保持一定比例增长的，给予最高不超过80万元的一次性支持；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（二）鼓励国际品牌连锁酒店、特色酒店落户罗湖。纳入罗湖区统计核算且营业收入达到5000万元以上的，按营业收入的一定比例给予最高不超过100万元的支持。</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大力引进文化及相关产业企业。</w:t>
      </w:r>
      <w:r>
        <w:rPr>
          <w:rFonts w:hint="eastAsia" w:ascii="仿宋_GB2312" w:hAnsi="仿宋_GB2312" w:eastAsia="仿宋_GB2312" w:cs="仿宋_GB2312"/>
          <w:kern w:val="36"/>
          <w:sz w:val="32"/>
          <w:szCs w:val="32"/>
        </w:rPr>
        <w:t>自2019年1月1日起，</w:t>
      </w:r>
      <w:r>
        <w:rPr>
          <w:rFonts w:hint="eastAsia" w:ascii="仿宋_GB2312" w:hAnsi="仿宋_GB2312" w:eastAsia="仿宋_GB2312" w:cs="仿宋_GB2312"/>
          <w:sz w:val="32"/>
          <w:szCs w:val="32"/>
        </w:rPr>
        <w:t>新迁入或新设立的规模以上文化及相关产业企业，年度综合贡献100万以上的，自迁入或设立之日起前三年，每年按照罗湖区财政贡献的一定比例给予综合扶持，年度扶持上限不超过1000万元。已享受本条款扶持的不再享受本实施细则其他相关扶持。</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大力引进商务服务业企业。</w:t>
      </w:r>
      <w:r>
        <w:rPr>
          <w:rFonts w:hint="eastAsia" w:ascii="仿宋_GB2312" w:hAnsi="仿宋_GB2312" w:eastAsia="仿宋_GB2312" w:cs="仿宋_GB2312"/>
          <w:kern w:val="36"/>
          <w:sz w:val="32"/>
          <w:szCs w:val="32"/>
        </w:rPr>
        <w:t>自2019年1月1日起</w:t>
      </w:r>
      <w:r>
        <w:rPr>
          <w:rFonts w:hint="eastAsia" w:ascii="仿宋_GB2312" w:hAnsi="仿宋_GB2312" w:eastAsia="仿宋_GB2312" w:cs="仿宋_GB2312"/>
          <w:sz w:val="32"/>
          <w:szCs w:val="32"/>
        </w:rPr>
        <w:t>新迁入或新设立的法律服务、咨询与调查、人力资源服务、会议、展览及相关服务等商务服务业企业</w:t>
      </w:r>
      <w:r>
        <w:rPr>
          <w:rFonts w:hint="eastAsia" w:ascii="仿宋_GB2312" w:hAnsi="仿宋_GB2312" w:eastAsia="仿宋_GB2312" w:cs="仿宋_GB2312"/>
          <w:kern w:val="36"/>
          <w:sz w:val="32"/>
          <w:szCs w:val="32"/>
        </w:rPr>
        <w:t>，上一年度综合贡献100万以上的，</w:t>
      </w:r>
      <w:r>
        <w:rPr>
          <w:rFonts w:hint="eastAsia" w:ascii="仿宋_GB2312" w:hAnsi="仿宋_GB2312" w:eastAsia="仿宋_GB2312" w:cs="仿宋_GB2312"/>
          <w:sz w:val="32"/>
          <w:szCs w:val="32"/>
        </w:rPr>
        <w:t>按照上一年度罗湖区财政贡献的一定比例享受一次性落户扶持。已享受本条款扶持的不再享受本实施细则其他相关扶持。</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第二节 鼓励机构发展</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鼓励行业性社团组织落户罗湖。</w:t>
      </w:r>
      <w:r>
        <w:rPr>
          <w:rFonts w:hint="eastAsia" w:ascii="仿宋_GB2312" w:hAnsi="仿宋_GB2312" w:eastAsia="仿宋_GB2312" w:cs="仿宋_GB2312"/>
          <w:kern w:val="36"/>
          <w:sz w:val="32"/>
          <w:szCs w:val="32"/>
        </w:rPr>
        <w:t>自2019年1月1日起，</w:t>
      </w:r>
      <w:r>
        <w:rPr>
          <w:rFonts w:hint="eastAsia" w:ascii="仿宋_GB2312" w:hAnsi="仿宋_GB2312" w:eastAsia="仿宋_GB2312" w:cs="仿宋_GB2312"/>
          <w:sz w:val="32"/>
          <w:szCs w:val="32"/>
        </w:rPr>
        <w:t>对加快辖区经济高质量发展发挥重大推动作用的新迁入或新设立的行业性社团组织，经区产业主管部门核准认定，给予最高不超过50万元一次性扶持。</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kern w:val="36"/>
          <w:sz w:val="32"/>
          <w:szCs w:val="32"/>
        </w:rPr>
        <w:t xml:space="preserve"> </w:t>
      </w:r>
      <w:r>
        <w:rPr>
          <w:rFonts w:hint="eastAsia" w:ascii="仿宋_GB2312" w:hAnsi="仿宋_GB2312" w:eastAsia="仿宋_GB2312" w:cs="仿宋_GB2312"/>
          <w:sz w:val="32"/>
          <w:szCs w:val="32"/>
        </w:rPr>
        <w:t>招商引资奖励。对引进综合贡献2000万元以上企业起到关键作用的招商机构（楼宇业主除外）和辖区内经国家、省、市、罗湖区认定的专业园区等，经被引进企业书面确认，且在行业主管部门提前3个月备案的，按照被引进企业落户罗湖后一个完整自然年度或一个顺延年周期内的罗湖区财政贡献的一定比例，可给予招商机构、专业园区最高不超过200万元/家的项目引进奖励。招商机构、专业园区在被引进企业落户之日起2年内可申请本条款招商引资奖励。</w:t>
      </w:r>
    </w:p>
    <w:p>
      <w:pPr>
        <w:spacing w:line="580" w:lineRule="exact"/>
        <w:jc w:val="center"/>
        <w:rPr>
          <w:rFonts w:ascii="仿宋_GB2312" w:hAnsi="仿宋_GB2312" w:eastAsia="仿宋_GB2312" w:cs="仿宋_GB2312"/>
          <w:sz w:val="32"/>
          <w:szCs w:val="32"/>
        </w:rPr>
      </w:pPr>
    </w:p>
    <w:p>
      <w:pPr>
        <w:spacing w:line="580" w:lineRule="exact"/>
        <w:jc w:val="center"/>
        <w:outlineLvl w:val="1"/>
        <w:rPr>
          <w:rFonts w:ascii="黑体" w:hAnsi="黑体" w:eastAsia="黑体" w:cs="黑体"/>
          <w:kern w:val="36"/>
          <w:sz w:val="32"/>
          <w:szCs w:val="32"/>
        </w:rPr>
      </w:pPr>
      <w:r>
        <w:rPr>
          <w:rFonts w:hint="eastAsia" w:ascii="黑体" w:hAnsi="黑体" w:eastAsia="黑体" w:cs="黑体"/>
          <w:kern w:val="36"/>
          <w:sz w:val="32"/>
          <w:szCs w:val="32"/>
        </w:rPr>
        <w:t>第三章 申请材料与申报程序</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kern w:val="36"/>
          <w:sz w:val="32"/>
          <w:szCs w:val="32"/>
        </w:rPr>
        <w:t xml:space="preserve"> </w:t>
      </w:r>
      <w:r>
        <w:rPr>
          <w:rFonts w:hint="eastAsia" w:ascii="仿宋_GB2312" w:hAnsi="仿宋_GB2312" w:eastAsia="仿宋_GB2312" w:cs="仿宋_GB2312"/>
          <w:sz w:val="32"/>
          <w:szCs w:val="32"/>
        </w:rPr>
        <w:t>申请专项资金扶持需提供以下基本材料：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36"/>
          <w:sz w:val="32"/>
          <w:szCs w:val="32"/>
        </w:rPr>
        <w:t>登录罗湖区电子政务网经济高质量发展专项资金申报系统在线填报申请表（包含基本情况介绍），提供通过该系统打印的申请表纸质文件原件；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（二）税务部门出具的企业纳税证明原件（按税种）；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（三）由注册会计师事务所出具的本企业上一年度审计报告或企业提供的财务报表；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（四）法定代表人身份证或者法人委托书及代理人身份证；</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（五）五年不迁离罗湖承诺书，年度扶持金额累计超过50万元的企业需提供。</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涉及汇总计算产值（营业收入）和综合贡献的，控股子公司或参股公司除需提供第十三条相关材料外，还需提交汇总计算企业名单、股权隶属关系证明及同意汇总确认书。</w:t>
      </w:r>
    </w:p>
    <w:p>
      <w:pPr>
        <w:spacing w:line="580" w:lineRule="exact"/>
        <w:ind w:firstLine="640" w:firstLineChars="200"/>
        <w:rPr>
          <w:rFonts w:ascii="仿宋_GB2312" w:hAnsi="仿宋_GB2312" w:eastAsia="仿宋_GB2312" w:cs="仿宋_GB2312"/>
          <w:kern w:val="36"/>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申请本实施细则第五条（一）总部企业落户奖励和（二）管理团队落户奖励</w:t>
      </w:r>
      <w:r>
        <w:rPr>
          <w:rFonts w:hint="eastAsia" w:ascii="仿宋_GB2312" w:hAnsi="仿宋_GB2312" w:eastAsia="仿宋_GB2312" w:cs="仿宋_GB2312"/>
          <w:kern w:val="36"/>
          <w:sz w:val="32"/>
          <w:szCs w:val="32"/>
        </w:rPr>
        <w:t>的，</w:t>
      </w:r>
      <w:r>
        <w:rPr>
          <w:rFonts w:hint="eastAsia" w:ascii="仿宋_GB2312" w:hAnsi="仿宋_GB2312" w:eastAsia="仿宋_GB2312" w:cs="仿宋_GB2312"/>
          <w:sz w:val="32"/>
          <w:szCs w:val="32"/>
        </w:rPr>
        <w:t>如拨付至企业管理团队个人账户，需提供</w:t>
      </w:r>
      <w:r>
        <w:rPr>
          <w:rFonts w:hint="eastAsia" w:ascii="仿宋_GB2312" w:hAnsi="仿宋_GB2312" w:eastAsia="仿宋_GB2312" w:cs="仿宋_GB2312"/>
          <w:kern w:val="36"/>
          <w:sz w:val="32"/>
          <w:szCs w:val="32"/>
        </w:rPr>
        <w:t>企业议定本事项的书面文件，企业管理团队成员名单（包括但不限于身份证号码、奖励金额、接受奖金的银行账号等），企业管理团队成员的身份证复印件。</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申请本实施细则第八条知名旅行社、大型旅游企业、知名品牌酒店落户罗湖的，除提供第十三条基本材料外，申报主体还需提供营业收入增长说明及企业简介等相关材料。</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申请本实施细则购置办公用房扶持的，除提供第十三条基本材料外，申报主体还需提供：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（一）由房产管理部门颁发的房屋所有权证书；</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（二）房地产转让合同或经第三方审计的其他具有法律效力的协议；</w:t>
      </w:r>
    </w:p>
    <w:p>
      <w:pPr>
        <w:spacing w:line="58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（三）费用发票。</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kern w:val="36"/>
          <w:sz w:val="32"/>
          <w:szCs w:val="32"/>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申请本实施细则租赁办公用房扶持的，除提供第十三条基本材料外，申报主体还需提供：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（一）经房产管理部门登记（备案）的房屋租赁合同；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（二）费用发票。</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申请本实施细则第十二条招商引资奖励的，需提供第十三条中第（一）、（四）款材料及以下材料：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（一）罗湖区项目引荐人备案申请表；</w:t>
      </w:r>
    </w:p>
    <w:p>
      <w:pPr>
        <w:pStyle w:val="1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（二）被引进企业的相关基本材料:</w:t>
      </w:r>
    </w:p>
    <w:p>
      <w:pPr>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1.企业营业执照复印件；</w:t>
      </w:r>
    </w:p>
    <w:p>
      <w:pPr>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2.税务部门出具的企业纳税原件（按税种）。</w:t>
      </w:r>
    </w:p>
    <w:p>
      <w:pPr>
        <w:pStyle w:val="1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（三）引进确认函。</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申请本实施细则第七条科技创新企业扶持的，除提供第十三条基本材料外，申报主体根据项目实际情况还需提供罗湖区财政贡献承诺、独角兽企业佐证材料、投融资凭证、办公场地租赁合同、租金票据、专项审计报告、国家高新技术企业证书、第三方专家评审认定材料、高层次人才佐证材料、创赛获奖佐证材料、发明专利、重大科技创新项目材料、拨款经费进账凭证等相关材料。</w:t>
      </w:r>
    </w:p>
    <w:p>
      <w:pPr>
        <w:spacing w:line="580" w:lineRule="exact"/>
        <w:rPr>
          <w:rFonts w:ascii="仿宋_GB2312" w:hAnsi="仿宋_GB2312" w:eastAsia="仿宋_GB2312" w:cs="仿宋_GB2312"/>
          <w:sz w:val="32"/>
          <w:szCs w:val="32"/>
        </w:rPr>
      </w:pPr>
    </w:p>
    <w:p>
      <w:pPr>
        <w:spacing w:line="580" w:lineRule="exact"/>
        <w:jc w:val="center"/>
        <w:outlineLvl w:val="1"/>
        <w:rPr>
          <w:rFonts w:ascii="黑体" w:hAnsi="黑体" w:eastAsia="黑体" w:cs="黑体"/>
          <w:kern w:val="36"/>
          <w:sz w:val="32"/>
          <w:szCs w:val="32"/>
        </w:rPr>
      </w:pPr>
      <w:r>
        <w:rPr>
          <w:rFonts w:hint="eastAsia" w:ascii="黑体" w:hAnsi="黑体" w:eastAsia="黑体" w:cs="黑体"/>
          <w:kern w:val="36"/>
          <w:sz w:val="32"/>
          <w:szCs w:val="32"/>
        </w:rPr>
        <w:t>第四章 附  则</w:t>
      </w:r>
    </w:p>
    <w:p>
      <w:pPr>
        <w:spacing w:line="580" w:lineRule="exact"/>
        <w:ind w:firstLine="640" w:firstLineChars="200"/>
        <w:rPr>
          <w:rFonts w:ascii="仿宋_GB2312" w:hAnsi="仿宋_GB2312" w:eastAsia="仿宋_GB2312" w:cs="仿宋_GB2312"/>
          <w:kern w:val="36"/>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kern w:val="36"/>
          <w:sz w:val="32"/>
          <w:szCs w:val="32"/>
        </w:rPr>
        <w:t xml:space="preserve"> </w:t>
      </w:r>
      <w:r>
        <w:rPr>
          <w:rFonts w:hint="eastAsia" w:ascii="仿宋_GB2312" w:hAnsi="仿宋_GB2312" w:eastAsia="仿宋_GB2312" w:cs="仿宋_GB2312"/>
          <w:sz w:val="32"/>
          <w:szCs w:val="32"/>
        </w:rPr>
        <w:t>本实施细则</w:t>
      </w:r>
      <w:r>
        <w:rPr>
          <w:rFonts w:hint="eastAsia" w:ascii="仿宋_GB2312" w:hAnsi="仿宋_GB2312" w:eastAsia="仿宋_GB2312" w:cs="仿宋_GB2312"/>
          <w:kern w:val="36"/>
          <w:sz w:val="32"/>
          <w:szCs w:val="32"/>
        </w:rPr>
        <w:t>扶持对象包括：</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（一）金融业扶持对象包括：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金融机构总部：经国家金融监管部门批准，注册在罗湖区并具有独立法人资格的银行（含理财子公司）、信托公司、证券公司、基金管理公司、期货公司、保险公司、金融类控股集团公司、地方资产管理公司、金融租赁公司、消费金融公司、企业集团财务公司等经营性金融企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2.金融机构一级分支机构：由金融机构总部设立的，注册地址在罗湖区的深圳市级分行（分公司）。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3.专营机构和专业子公司：由金融机构总部设立的，注册在罗湖区的中资银行专营机构；证券公司基金子公司；由保险公司总部发起设立的资产管理公司。</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4.其他金融机构：经各级金融监管部门批准或认定，注册在罗湖区并具有独立法人资格的其他金融机构。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36"/>
          <w:sz w:val="32"/>
          <w:szCs w:val="32"/>
        </w:rPr>
        <w:t>（二）文化及相关产业扶持对象包括：</w:t>
      </w:r>
      <w:r>
        <w:rPr>
          <w:rFonts w:hint="eastAsia" w:ascii="仿宋_GB2312" w:hAnsi="仿宋_GB2312" w:eastAsia="仿宋_GB2312" w:cs="仿宋_GB2312"/>
          <w:sz w:val="32"/>
          <w:szCs w:val="32"/>
        </w:rPr>
        <w:t>符合统计部门发布的文化及相关产业分类，</w:t>
      </w:r>
      <w:r>
        <w:rPr>
          <w:rFonts w:hint="eastAsia" w:ascii="仿宋_GB2312" w:hAnsi="仿宋_GB2312" w:eastAsia="仿宋_GB2312" w:cs="仿宋_GB2312"/>
          <w:kern w:val="36"/>
          <w:sz w:val="32"/>
          <w:szCs w:val="32"/>
        </w:rPr>
        <w:t>属于我区重点发展的创意设计、动漫游戏、版权、新媒体及文化信息服务、影视演艺、文化体育、高端印刷和高端工艺美术等领域的企业及社会组织等。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36"/>
          <w:sz w:val="32"/>
          <w:szCs w:val="32"/>
        </w:rPr>
        <w:t>（三）</w:t>
      </w:r>
      <w:r>
        <w:rPr>
          <w:rFonts w:hint="eastAsia" w:ascii="仿宋_GB2312" w:hAnsi="仿宋_GB2312" w:eastAsia="仿宋_GB2312" w:cs="仿宋_GB2312"/>
          <w:sz w:val="32"/>
          <w:szCs w:val="32"/>
        </w:rPr>
        <w:t>商务服务业</w:t>
      </w:r>
      <w:r>
        <w:rPr>
          <w:rFonts w:hint="eastAsia" w:ascii="仿宋_GB2312" w:hAnsi="仿宋_GB2312" w:eastAsia="仿宋_GB2312" w:cs="仿宋_GB2312"/>
          <w:kern w:val="36"/>
          <w:sz w:val="32"/>
          <w:szCs w:val="32"/>
        </w:rPr>
        <w:t>扶持对象包括：</w:t>
      </w:r>
      <w:r>
        <w:rPr>
          <w:rFonts w:hint="eastAsia" w:ascii="仿宋_GB2312" w:hAnsi="仿宋_GB2312" w:eastAsia="仿宋_GB2312" w:cs="仿宋_GB2312"/>
          <w:sz w:val="32"/>
          <w:szCs w:val="32"/>
        </w:rPr>
        <w:t>法律服务、咨询与调查、人力资源服务、会议、展览及相关服务等企业</w:t>
      </w:r>
      <w:r>
        <w:rPr>
          <w:rFonts w:hint="eastAsia" w:ascii="仿宋_GB2312" w:hAnsi="仿宋_GB2312" w:eastAsia="仿宋_GB2312" w:cs="仿宋_GB2312"/>
          <w:kern w:val="0"/>
          <w:sz w:val="32"/>
          <w:szCs w:val="32"/>
        </w:rPr>
        <w:t>。</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（四）科技创新扶持对象包括：</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1.重点科技企业：综合贡献500万以上科技创新类企业；上市企业、行业龙头企业在罗湖注册成立新公司；经区政府审议通过的重点科技企业。</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2.重大科技创新项目：获得国家、省、市科技计划项目、其他重大专项或奖励支持的项目；独角兽企业、准独角兽企业、潜在独角兽企业。</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科技创新类企业：国家高新技术企业；其他已获得持牌金融机构风险投资的科技创新项目；经认定的各类高层次人才带项目、带技术、带资金创办的科技创新型企业；创新创业大赛获奖项目；联合港澳高校创新成果转化机构引进的港澳创新创业项目。</w:t>
      </w:r>
    </w:p>
    <w:p>
      <w:pPr>
        <w:pStyle w:val="2"/>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年度扶持金额累计超过50万元的企业，应提交书面承诺书，承诺获得扶持资金后五年内注册地、纳税地和统计关系不迁离罗湖。企业确因特殊客观原因不能完整履行承诺书约定的，应提交相关情况的书面说明材料，经专项资金管理领导小组办公室核实后提请专项资金管理领导小组联席会议研究决定。</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kern w:val="36"/>
          <w:sz w:val="32"/>
          <w:szCs w:val="32"/>
        </w:rPr>
        <w:t xml:space="preserve"> </w:t>
      </w:r>
      <w:r>
        <w:rPr>
          <w:rFonts w:hint="eastAsia" w:ascii="仿宋_GB2312" w:hAnsi="仿宋_GB2312" w:eastAsia="仿宋_GB2312" w:cs="仿宋_GB2312"/>
          <w:sz w:val="32"/>
          <w:szCs w:val="32"/>
        </w:rPr>
        <w:t>对注册地在罗湖的大型企业，其注册地在罗湖的控股子公司、参股公司可按一定比例汇总计算综合贡献和产值（营业收入），在双方协商同意其中一方不再享受同款政策的前提下，该企业或子公司之一可视同为单一主体享受本实施细则规定的扶持政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（一）对于绝对控股子公司，其汇总金额按照100%计算；</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（二）对于控股、参股子公司，其汇总金额按照股份比例计算。</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kern w:val="36"/>
          <w:sz w:val="32"/>
          <w:szCs w:val="32"/>
        </w:rPr>
        <w:t xml:space="preserve"> </w:t>
      </w:r>
      <w:r>
        <w:rPr>
          <w:rFonts w:hint="eastAsia" w:ascii="仿宋_GB2312" w:hAnsi="仿宋_GB2312" w:eastAsia="仿宋_GB2312" w:cs="仿宋_GB2312"/>
          <w:sz w:val="32"/>
          <w:szCs w:val="32"/>
        </w:rPr>
        <w:t>因一次性、偶然性等因素达到</w:t>
      </w:r>
      <w:r>
        <w:rPr>
          <w:rFonts w:hint="eastAsia" w:ascii="仿宋_GB2312" w:hAnsi="仿宋_GB2312" w:eastAsia="仿宋_GB2312" w:cs="仿宋_GB2312"/>
          <w:kern w:val="36"/>
          <w:sz w:val="32"/>
          <w:szCs w:val="32"/>
        </w:rPr>
        <w:t>总部企业</w:t>
      </w:r>
      <w:r>
        <w:rPr>
          <w:rFonts w:hint="eastAsia" w:ascii="仿宋_GB2312" w:hAnsi="仿宋_GB2312" w:eastAsia="仿宋_GB2312" w:cs="仿宋_GB2312"/>
          <w:sz w:val="32"/>
          <w:szCs w:val="32"/>
        </w:rPr>
        <w:t>认定条件的企业，有以下限制：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（一）对房地产企业，应剔除其在罗湖实施房地产项目的销售收入及地价等一次性因素产生的综合贡献，未达到</w:t>
      </w:r>
      <w:r>
        <w:rPr>
          <w:rFonts w:hint="eastAsia" w:ascii="仿宋_GB2312" w:hAnsi="仿宋_GB2312" w:eastAsia="仿宋_GB2312" w:cs="仿宋_GB2312"/>
          <w:kern w:val="36"/>
          <w:sz w:val="32"/>
          <w:szCs w:val="32"/>
        </w:rPr>
        <w:t>总部企业</w:t>
      </w:r>
      <w:r>
        <w:rPr>
          <w:rFonts w:hint="eastAsia" w:ascii="仿宋_GB2312" w:hAnsi="仿宋_GB2312" w:eastAsia="仿宋_GB2312" w:cs="仿宋_GB2312"/>
          <w:sz w:val="32"/>
          <w:szCs w:val="32"/>
        </w:rPr>
        <w:t>认定条件的，不适用本实施细则；达到</w:t>
      </w:r>
      <w:r>
        <w:rPr>
          <w:rFonts w:hint="eastAsia" w:ascii="仿宋_GB2312" w:hAnsi="仿宋_GB2312" w:eastAsia="仿宋_GB2312" w:cs="仿宋_GB2312"/>
          <w:kern w:val="36"/>
          <w:sz w:val="32"/>
          <w:szCs w:val="32"/>
        </w:rPr>
        <w:t>总部企业</w:t>
      </w:r>
      <w:r>
        <w:rPr>
          <w:rFonts w:hint="eastAsia" w:ascii="仿宋_GB2312" w:hAnsi="仿宋_GB2312" w:eastAsia="仿宋_GB2312" w:cs="仿宋_GB2312"/>
          <w:sz w:val="32"/>
          <w:szCs w:val="32"/>
        </w:rPr>
        <w:t>认定条件的，扶持额度依据剔除上述一次性因素税收后的综合贡献核算。项目地不在罗湖的上一年度在罗湖区综合贡献符合本实施细则</w:t>
      </w:r>
      <w:r>
        <w:rPr>
          <w:rFonts w:hint="eastAsia" w:ascii="仿宋_GB2312" w:hAnsi="仿宋_GB2312" w:eastAsia="仿宋_GB2312" w:cs="仿宋_GB2312"/>
          <w:kern w:val="36"/>
          <w:sz w:val="32"/>
          <w:szCs w:val="32"/>
        </w:rPr>
        <w:t>总部企业</w:t>
      </w:r>
      <w:r>
        <w:rPr>
          <w:rFonts w:hint="eastAsia" w:ascii="仿宋_GB2312" w:hAnsi="仿宋_GB2312" w:eastAsia="仿宋_GB2312" w:cs="仿宋_GB2312"/>
          <w:sz w:val="32"/>
          <w:szCs w:val="32"/>
        </w:rPr>
        <w:t>认定条件的房地产企业可参照第五条给予一次性落户扶持、租房扶持。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（二）企业因股权交易、资产并购，根据《罗湖区经济高质量发展专项资金扶持做大做强实施细则》已获得相应扶持的，此部分纳税</w:t>
      </w:r>
      <w:r>
        <w:rPr>
          <w:rFonts w:hint="eastAsia" w:ascii="仿宋_GB2312" w:hAnsi="仿宋" w:eastAsia="仿宋_GB2312"/>
          <w:sz w:val="32"/>
          <w:szCs w:val="32"/>
        </w:rPr>
        <w:t>在计算本实施细则其他条款扶持额度时，不再计入企业纳税额</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若引荐的</w:t>
      </w:r>
      <w:r>
        <w:rPr>
          <w:rFonts w:hint="eastAsia" w:ascii="仿宋_GB2312" w:hAnsi="仿宋_GB2312" w:eastAsia="仿宋_GB2312" w:cs="仿宋_GB2312"/>
          <w:kern w:val="36"/>
          <w:sz w:val="32"/>
          <w:szCs w:val="32"/>
        </w:rPr>
        <w:t>区外综合贡献2000万元以上</w:t>
      </w:r>
      <w:r>
        <w:rPr>
          <w:rFonts w:hint="eastAsia" w:ascii="仿宋_GB2312" w:hAnsi="仿宋_GB2312" w:eastAsia="仿宋_GB2312" w:cs="仿宋_GB2312"/>
          <w:sz w:val="32"/>
          <w:szCs w:val="32"/>
        </w:rPr>
        <w:t>企业已于2019年1月1日至2019年12月31日内落户罗湖，但招商引荐机构未申请原《罗湖区产业转型升级专项资金扶持总部经济实施细则》第十三条鼓励机构引进总部企业奖励，可申请本实施细则第十二条招商引资奖励，需提供第十九条申报材料。如未提前向行业主管部门备案，还需提供相关情况说明。第十二条招商引资奖励扶持对象不受注册地和本实施细则第三条规定限制。</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本实施细则涉及的“上一年度”，一般指企业迁入或设立之日起顺延12个月，也可以指企业迁入或设立之日起的下一个完整自然年度。</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2019年1月1日后新迁入或新设立企业，符合本实施细则中相应扶持条件的，同一企业仅可申请本实施细则同类型扶持条款一次，不予重复支持。</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申请总部企业、金融机构办公用房购置、租赁补贴的，该自用办公用房不包含罗湖区创新型产业用房。获得购置、租赁办公用房扶持补贴的，自用办公用房在企业享受扶持期间原则上不得对外转租、转让。另有规定的除外。</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符合如下三种情况之一的，可享受本实施细则总部企业、金融机构办公用房购置、租赁补贴：</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（一）辖区外</w:t>
      </w:r>
      <w:r>
        <w:rPr>
          <w:rFonts w:hint="eastAsia" w:ascii="仿宋_GB2312" w:hAnsi="仿宋_GB2312" w:eastAsia="仿宋_GB2312" w:cs="仿宋_GB2312"/>
          <w:kern w:val="36"/>
          <w:sz w:val="32"/>
          <w:szCs w:val="32"/>
        </w:rPr>
        <w:t>企业在罗湖区先购置、租赁办公用房并于购房、租房后1年内落户罗湖的；</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（二）</w:t>
      </w:r>
      <w:r>
        <w:rPr>
          <w:rFonts w:hint="eastAsia" w:ascii="仿宋_GB2312" w:hAnsi="仿宋_GB2312" w:eastAsia="仿宋_GB2312" w:cs="仿宋_GB2312"/>
          <w:sz w:val="32"/>
          <w:szCs w:val="32"/>
        </w:rPr>
        <w:t>新迁入或新设立企业自</w:t>
      </w:r>
      <w:r>
        <w:rPr>
          <w:rFonts w:hint="eastAsia" w:ascii="仿宋_GB2312" w:hAnsi="仿宋_GB2312" w:eastAsia="仿宋_GB2312" w:cs="仿宋_GB2312"/>
          <w:kern w:val="36"/>
          <w:sz w:val="32"/>
          <w:szCs w:val="32"/>
        </w:rPr>
        <w:t>落户后3年内在罗湖区新购置、租赁办公用房的；</w:t>
      </w:r>
    </w:p>
    <w:p>
      <w:pPr>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kern w:val="36"/>
          <w:sz w:val="32"/>
          <w:szCs w:val="32"/>
        </w:rPr>
        <w:t>（三）如企业订制购买罗湖区城市更新办公物业，可按实际情况适当延长购房补贴申请周期，</w:t>
      </w:r>
      <w:r>
        <w:rPr>
          <w:rFonts w:hint="eastAsia" w:ascii="仿宋_GB2312" w:hAnsi="仿宋_GB2312" w:eastAsia="仿宋_GB2312" w:cs="仿宋_GB2312"/>
          <w:sz w:val="32"/>
          <w:szCs w:val="32"/>
        </w:rPr>
        <w:t>除需提供第十七条申报材料外，还需提供经第三方审计的具有法律效力的定制协议等购房证明材料</w:t>
      </w:r>
      <w:r>
        <w:rPr>
          <w:rFonts w:hint="eastAsia" w:ascii="仿宋_GB2312" w:hAnsi="仿宋_GB2312" w:eastAsia="仿宋_GB2312" w:cs="仿宋_GB2312"/>
          <w:kern w:val="36"/>
          <w:sz w:val="32"/>
          <w:szCs w:val="32"/>
        </w:rPr>
        <w:t>；如实际未完成办公用房购置手续，</w:t>
      </w:r>
      <w:r>
        <w:rPr>
          <w:rFonts w:hint="eastAsia" w:ascii="仿宋_GB2312" w:hAnsi="仿宋_GB2312" w:eastAsia="仿宋_GB2312" w:cs="仿宋_GB2312"/>
          <w:sz w:val="32"/>
          <w:szCs w:val="32"/>
        </w:rPr>
        <w:t>须返还已拨付的</w:t>
      </w:r>
      <w:r>
        <w:rPr>
          <w:rFonts w:hint="eastAsia" w:ascii="仿宋_GB2312" w:hAnsi="仿宋_GB2312" w:eastAsia="仿宋_GB2312" w:cs="仿宋_GB2312"/>
          <w:kern w:val="36"/>
          <w:sz w:val="32"/>
          <w:szCs w:val="32"/>
        </w:rPr>
        <w:t>购房补贴。</w:t>
      </w:r>
    </w:p>
    <w:p>
      <w:pPr>
        <w:pStyle w:val="2"/>
        <w:spacing w:line="580" w:lineRule="exact"/>
        <w:ind w:firstLine="640" w:firstLineChars="200"/>
        <w:rPr>
          <w:rFonts w:ascii="仿宋_GB2312" w:hAnsi="仿宋" w:eastAsia="仿宋_GB2312"/>
          <w:color w:val="000000"/>
          <w:sz w:val="32"/>
          <w:szCs w:val="32"/>
        </w:rPr>
      </w:pPr>
      <w:r>
        <w:rPr>
          <w:rFonts w:hint="eastAsia" w:ascii="黑体" w:hAnsi="黑体" w:eastAsia="黑体" w:cs="黑体"/>
          <w:sz w:val="32"/>
          <w:szCs w:val="32"/>
        </w:rPr>
        <w:t>第三十条</w:t>
      </w:r>
      <w:r>
        <w:rPr>
          <w:rFonts w:hint="eastAsia" w:ascii="仿宋_GB2312" w:hAnsi="仿宋_GB2312" w:eastAsia="仿宋_GB2312" w:cs="仿宋_GB2312"/>
          <w:kern w:val="36"/>
          <w:sz w:val="32"/>
          <w:szCs w:val="32"/>
        </w:rPr>
        <w:t xml:space="preserve"> </w:t>
      </w:r>
      <w:r>
        <w:rPr>
          <w:rFonts w:hint="eastAsia" w:ascii="仿宋_GB2312" w:hAnsi="仿宋" w:eastAsia="仿宋_GB2312"/>
          <w:color w:val="000000"/>
          <w:sz w:val="32"/>
          <w:szCs w:val="32"/>
        </w:rPr>
        <w:t>对新迁入或新设立的总部企业，自迁入或设立之日起2年内，在我区首次申请获得的扶持金额原则上不超过该企业上一年度在罗湖区</w:t>
      </w:r>
      <w:r>
        <w:rPr>
          <w:rFonts w:ascii="仿宋_GB2312" w:hAnsi="仿宋" w:eastAsia="仿宋_GB2312"/>
          <w:color w:val="000000"/>
          <w:sz w:val="32"/>
          <w:szCs w:val="32"/>
        </w:rPr>
        <w:t>的</w:t>
      </w:r>
      <w:r>
        <w:rPr>
          <w:rFonts w:hint="eastAsia" w:ascii="仿宋_GB2312" w:hAnsi="仿宋" w:eastAsia="仿宋_GB2312"/>
          <w:color w:val="000000"/>
          <w:sz w:val="32"/>
          <w:szCs w:val="32"/>
        </w:rPr>
        <w:t>纳税额。</w:t>
      </w:r>
    </w:p>
    <w:p>
      <w:pPr>
        <w:pStyle w:val="2"/>
        <w:spacing w:line="580" w:lineRule="exact"/>
        <w:ind w:firstLine="640" w:firstLineChars="200"/>
        <w:rPr>
          <w:rFonts w:ascii="仿宋_GB2312" w:hAnsi="仿宋_GB2312" w:eastAsia="仿宋_GB2312" w:cs="仿宋_GB2312"/>
          <w:kern w:val="36"/>
          <w:sz w:val="32"/>
          <w:szCs w:val="32"/>
        </w:rPr>
      </w:pPr>
      <w:r>
        <w:rPr>
          <w:rFonts w:hint="eastAsia" w:ascii="仿宋_GB2312" w:hAnsi="仿宋_GB2312" w:eastAsia="仿宋_GB2312" w:cs="仿宋_GB2312"/>
          <w:sz w:val="32"/>
          <w:szCs w:val="32"/>
        </w:rPr>
        <w:t>本实施细则涉及科技创新企业扶持的，扶持金额上限原则上不受不超过罗湖区财政贡献限制，特殊说明除外。</w:t>
      </w:r>
    </w:p>
    <w:p>
      <w:pPr>
        <w:pStyle w:val="2"/>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申请科技创新专项资金扶持的科技企业，</w:t>
      </w:r>
      <w:r>
        <w:rPr>
          <w:rFonts w:hint="eastAsia" w:ascii="仿宋_GB2312" w:hAnsi="仿宋_GB2312" w:eastAsia="仿宋_GB2312" w:cs="仿宋_GB2312"/>
          <w:kern w:val="36"/>
          <w:sz w:val="32"/>
          <w:szCs w:val="32"/>
        </w:rPr>
        <w:t>应与相关行业主管部门签订监管协议或提交书面承诺，履行监管协议所约定事项或承诺获得扶持资金后五年内注册地、纳税地和统计关系不得迁离罗湖，否则按协议约定或书面承诺退回该年度获得的全部扶持资金。</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本实施细则所称综合贡献是指申报企业在罗湖区缴纳的企业所得税、增值税、营业税、城市维护建设税、印花税、房产税、城镇土地使用税、土地增值税、车船税、契税、消费税、车辆购置税、地方教育费附加、教育费附加、文化事业建设费及代扣代缴个人所得税等税费的总和，本实施细则所称罗湖区财政贡献是指上述综合贡献计入罗湖区地方分成部分。上述综合贡献以税务部门出具的纳税证明为准。</w:t>
      </w:r>
    </w:p>
    <w:p>
      <w:pPr>
        <w:pStyle w:val="2"/>
        <w:spacing w:line="580" w:lineRule="exact"/>
        <w:ind w:firstLine="640" w:firstLineChars="200"/>
        <w:rPr>
          <w:rStyle w:val="11"/>
          <w:rFonts w:hAnsi="仿宋_GB2312"/>
          <w:color w:val="auto"/>
        </w:rPr>
      </w:pPr>
      <w:r>
        <w:rPr>
          <w:rStyle w:val="9"/>
          <w:rFonts w:hint="eastAsia" w:hAnsi="黑体"/>
          <w:color w:val="auto"/>
        </w:rPr>
        <w:t>第三十三条</w:t>
      </w:r>
      <w:r>
        <w:rPr>
          <w:rStyle w:val="9"/>
          <w:rFonts w:hint="eastAsia" w:ascii="仿宋_GB2312" w:hAnsi="仿宋_GB2312" w:eastAsia="仿宋_GB2312" w:cs="仿宋_GB2312"/>
          <w:color w:val="auto"/>
        </w:rPr>
        <w:t xml:space="preserve"> </w:t>
      </w:r>
      <w:r>
        <w:rPr>
          <w:rStyle w:val="11"/>
          <w:rFonts w:hint="eastAsia" w:hAnsi="仿宋_GB2312"/>
          <w:color w:val="auto"/>
        </w:rPr>
        <w:t>本实施细则规定的“以上</w:t>
      </w:r>
      <w:r>
        <w:rPr>
          <w:rStyle w:val="12"/>
          <w:rFonts w:hint="eastAsia" w:ascii="仿宋_GB2312" w:hAnsi="仿宋_GB2312" w:eastAsia="仿宋_GB2312" w:cs="仿宋_GB2312"/>
          <w:color w:val="auto"/>
        </w:rPr>
        <w:t>”</w:t>
      </w:r>
      <w:r>
        <w:rPr>
          <w:rStyle w:val="11"/>
          <w:rFonts w:hint="eastAsia" w:hAnsi="仿宋_GB2312"/>
          <w:color w:val="auto"/>
        </w:rPr>
        <w:t>包含本数，“以下”不包含本数。币种除特别注明的之外皆为人民币。</w:t>
      </w:r>
    </w:p>
    <w:p>
      <w:pPr>
        <w:pStyle w:val="2"/>
        <w:spacing w:line="580" w:lineRule="exact"/>
        <w:ind w:firstLine="640" w:firstLineChars="200"/>
        <w:rPr>
          <w:rFonts w:ascii="仿宋_GB2312" w:hAnsi="仿宋_GB2312" w:eastAsia="仿宋_GB2312" w:cs="仿宋_GB2312"/>
          <w:sz w:val="32"/>
          <w:szCs w:val="32"/>
        </w:rPr>
      </w:pPr>
    </w:p>
    <w:p>
      <w:pPr>
        <w:pStyle w:val="2"/>
        <w:spacing w:line="580" w:lineRule="exact"/>
        <w:ind w:firstLine="640" w:firstLineChars="200"/>
        <w:rPr>
          <w:rFonts w:ascii="仿宋_GB2312" w:hAnsi="仿宋_GB2312" w:eastAsia="仿宋_GB2312" w:cs="仿宋_GB2312"/>
          <w:sz w:val="32"/>
          <w:szCs w:val="32"/>
        </w:rPr>
      </w:pPr>
    </w:p>
    <w:sectPr>
      <w:headerReference r:id="rId3" w:type="default"/>
      <w:footerReference r:id="rId4" w:type="default"/>
      <w:pgSz w:w="11906" w:h="16838"/>
      <w:pgMar w:top="1814" w:right="1474" w:bottom="1814" w:left="1588"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3</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pPr>
                      <w:pStyle w:val="4"/>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3</w:t>
                    </w:r>
                    <w:r>
                      <w:rPr>
                        <w:rFonts w:hint="eastAsia" w:ascii="宋体" w:hAnsi="宋体" w:cs="宋体"/>
                        <w:sz w:val="28"/>
                        <w:szCs w:val="28"/>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C47B8"/>
    <w:multiLevelType w:val="singleLevel"/>
    <w:tmpl w:val="E8FC47B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80C93"/>
    <w:rsid w:val="0021657F"/>
    <w:rsid w:val="00236DBC"/>
    <w:rsid w:val="00454B29"/>
    <w:rsid w:val="00456E3D"/>
    <w:rsid w:val="004D4C2E"/>
    <w:rsid w:val="00584347"/>
    <w:rsid w:val="005D6EB4"/>
    <w:rsid w:val="006801C8"/>
    <w:rsid w:val="00726C0D"/>
    <w:rsid w:val="007C4126"/>
    <w:rsid w:val="0091274B"/>
    <w:rsid w:val="00A031E9"/>
    <w:rsid w:val="00B214F0"/>
    <w:rsid w:val="00C0160C"/>
    <w:rsid w:val="00C260E6"/>
    <w:rsid w:val="00D04ABD"/>
    <w:rsid w:val="20C80C93"/>
    <w:rsid w:val="570139FE"/>
    <w:rsid w:val="6827325E"/>
    <w:rsid w:val="7000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3"/>
    <w:qFormat/>
    <w:uiPriority w:val="0"/>
    <w:rPr>
      <w:sz w:val="18"/>
      <w:szCs w:val="18"/>
    </w:r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9">
    <w:name w:val="fontstyle01"/>
    <w:basedOn w:val="8"/>
    <w:qFormat/>
    <w:uiPriority w:val="0"/>
    <w:rPr>
      <w:rFonts w:ascii="黑体" w:hAnsi="宋体" w:eastAsia="黑体" w:cs="黑体"/>
      <w:color w:val="000000"/>
      <w:sz w:val="32"/>
      <w:szCs w:val="32"/>
    </w:rPr>
  </w:style>
  <w:style w:type="paragraph" w:styleId="10">
    <w:name w:val="List Paragraph"/>
    <w:basedOn w:val="1"/>
    <w:qFormat/>
    <w:uiPriority w:val="34"/>
    <w:pPr>
      <w:ind w:firstLine="420" w:firstLineChars="200"/>
    </w:pPr>
  </w:style>
  <w:style w:type="character" w:customStyle="1" w:styleId="11">
    <w:name w:val="fontstyle21"/>
    <w:basedOn w:val="8"/>
    <w:qFormat/>
    <w:uiPriority w:val="0"/>
    <w:rPr>
      <w:rFonts w:ascii="仿宋_GB2312" w:eastAsia="仿宋_GB2312" w:cs="仿宋_GB2312"/>
      <w:color w:val="000000"/>
      <w:sz w:val="32"/>
      <w:szCs w:val="32"/>
    </w:rPr>
  </w:style>
  <w:style w:type="character" w:customStyle="1" w:styleId="12">
    <w:name w:val="fontstyle31"/>
    <w:basedOn w:val="8"/>
    <w:qFormat/>
    <w:uiPriority w:val="0"/>
    <w:rPr>
      <w:rFonts w:ascii="仿宋" w:hAnsi="仿宋" w:eastAsia="仿宋" w:cs="仿宋"/>
      <w:color w:val="000000"/>
      <w:sz w:val="32"/>
      <w:szCs w:val="32"/>
    </w:rPr>
  </w:style>
  <w:style w:type="character" w:customStyle="1" w:styleId="13">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1059</Words>
  <Characters>6038</Characters>
  <Lines>50</Lines>
  <Paragraphs>14</Paragraphs>
  <TotalTime>41</TotalTime>
  <ScaleCrop>false</ScaleCrop>
  <LinksUpToDate>false</LinksUpToDate>
  <CharactersWithSpaces>7083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2020-06-29T07:56:00Z</dcterms:created>
  <dc:creator>Vanes.Lee</dc:creator>
  <cp:lastModifiedBy>刘紫军</cp:lastModifiedBy>
  <dcterms:modified xsi:type="dcterms:W3CDTF">2020-08-07T06:29:58Z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