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Theme="majorEastAsia" w:hAnsiTheme="majorEastAsia" w:eastAsiaTheme="majorEastAsia"/>
          <w:b w:val="0"/>
          <w:bCs/>
          <w:kern w:val="0"/>
          <w:sz w:val="28"/>
          <w:szCs w:val="28"/>
          <w:lang w:eastAsia="zh-CN"/>
        </w:rPr>
      </w:pPr>
      <w:r>
        <w:rPr>
          <w:rFonts w:hint="eastAsia" w:asciiTheme="majorEastAsia" w:hAnsiTheme="majorEastAsia" w:eastAsiaTheme="majorEastAsia"/>
          <w:b w:val="0"/>
          <w:bCs/>
          <w:kern w:val="0"/>
          <w:sz w:val="28"/>
          <w:szCs w:val="28"/>
          <w:lang w:eastAsia="zh-CN"/>
        </w:rPr>
        <w:t>附件</w:t>
      </w:r>
      <w:r>
        <w:rPr>
          <w:rFonts w:hint="eastAsia" w:asciiTheme="majorEastAsia" w:hAnsiTheme="majorEastAsia" w:eastAsiaTheme="majorEastAsia"/>
          <w:b w:val="0"/>
          <w:bCs/>
          <w:kern w:val="0"/>
          <w:sz w:val="28"/>
          <w:szCs w:val="28"/>
          <w:lang w:val="en-US" w:eastAsia="zh-CN"/>
        </w:rPr>
        <w:t>2</w:t>
      </w:r>
    </w:p>
    <w:p>
      <w:pPr>
        <w:jc w:val="center"/>
        <w:rPr>
          <w:rFonts w:hint="eastAsia" w:asciiTheme="majorEastAsia" w:hAnsiTheme="majorEastAsia" w:eastAsiaTheme="majorEastAsia"/>
          <w:b w:val="0"/>
          <w:bCs/>
          <w:kern w:val="0"/>
          <w:sz w:val="44"/>
          <w:szCs w:val="44"/>
          <w:lang w:eastAsia="zh-CN"/>
        </w:rPr>
      </w:pPr>
      <w:r>
        <w:rPr>
          <w:rFonts w:hint="eastAsia" w:asciiTheme="majorEastAsia" w:hAnsiTheme="majorEastAsia" w:eastAsiaTheme="majorEastAsia"/>
          <w:b w:val="0"/>
          <w:bCs/>
          <w:kern w:val="0"/>
          <w:sz w:val="44"/>
          <w:szCs w:val="44"/>
          <w:lang w:eastAsia="zh-CN"/>
        </w:rPr>
        <w:t>关于《深圳市龙岗区工业和信息化产业发展专项资金支持招商引资工作实施细则》的</w:t>
      </w:r>
    </w:p>
    <w:p>
      <w:pPr>
        <w:jc w:val="center"/>
        <w:rPr>
          <w:rFonts w:hint="eastAsia" w:asciiTheme="majorEastAsia" w:hAnsiTheme="majorEastAsia" w:eastAsiaTheme="majorEastAsia"/>
          <w:b w:val="0"/>
          <w:bCs/>
          <w:kern w:val="0"/>
          <w:sz w:val="44"/>
          <w:szCs w:val="44"/>
          <w:lang w:eastAsia="zh-CN"/>
        </w:rPr>
      </w:pPr>
      <w:r>
        <w:rPr>
          <w:rFonts w:hint="eastAsia" w:asciiTheme="majorEastAsia" w:hAnsiTheme="majorEastAsia" w:eastAsiaTheme="majorEastAsia"/>
          <w:b w:val="0"/>
          <w:bCs/>
          <w:kern w:val="0"/>
          <w:sz w:val="44"/>
          <w:szCs w:val="44"/>
          <w:lang w:eastAsia="zh-CN"/>
        </w:rPr>
        <w:t>修订</w:t>
      </w:r>
      <w:bookmarkStart w:id="0" w:name="_GoBack"/>
      <w:bookmarkEnd w:id="0"/>
      <w:r>
        <w:rPr>
          <w:rFonts w:hint="eastAsia" w:asciiTheme="majorEastAsia" w:hAnsiTheme="majorEastAsia" w:eastAsiaTheme="majorEastAsia"/>
          <w:b w:val="0"/>
          <w:bCs/>
          <w:kern w:val="0"/>
          <w:sz w:val="44"/>
          <w:szCs w:val="44"/>
          <w:lang w:eastAsia="zh-CN"/>
        </w:rPr>
        <w:t>说明</w:t>
      </w:r>
    </w:p>
    <w:p>
      <w:pPr>
        <w:rPr>
          <w:rFonts w:hint="eastAsia"/>
          <w:lang w:eastAsia="zh-CN"/>
        </w:rPr>
      </w:pPr>
    </w:p>
    <w:p>
      <w:pPr>
        <w:rPr>
          <w:rFonts w:hint="eastAsia" w:ascii="仿宋_GB2312" w:eastAsia="仿宋_GB2312"/>
          <w:sz w:val="32"/>
          <w:szCs w:val="32"/>
          <w:lang w:eastAsia="zh-CN"/>
        </w:rPr>
      </w:pPr>
    </w:p>
    <w:p>
      <w:pPr>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一、相关背景及修订的必要性</w:t>
      </w:r>
    </w:p>
    <w:p>
      <w:pPr>
        <w:numPr>
          <w:ilvl w:val="0"/>
          <w:numId w:val="0"/>
        </w:numPr>
        <w:ind w:firstLine="640" w:firstLineChars="200"/>
        <w:rPr>
          <w:rFonts w:hint="eastAsia" w:ascii="仿宋_GB2312" w:eastAsia="仿宋_GB2312"/>
          <w:sz w:val="32"/>
          <w:szCs w:val="32"/>
          <w:lang w:eastAsia="zh-CN"/>
        </w:rPr>
      </w:pPr>
      <w:r>
        <w:rPr>
          <w:rFonts w:hint="eastAsia" w:ascii="仿宋_GB2312" w:hAnsi="仿宋_GB2312" w:eastAsia="仿宋_GB2312" w:cs="仿宋_GB2312"/>
          <w:color w:val="auto"/>
          <w:sz w:val="32"/>
          <w:szCs w:val="32"/>
          <w:highlight w:val="none"/>
          <w:lang w:val="en-US" w:eastAsia="zh-CN"/>
        </w:rPr>
        <w:t>由于《深圳市龙岗区区级财政专项资金管理办法》及《深圳市龙岗区工业和信息化产业发展专项资金管理办法》</w:t>
      </w:r>
      <w:r>
        <w:rPr>
          <w:rFonts w:hint="eastAsia" w:ascii="仿宋_GB2312" w:hAnsi="仿宋_GB2312" w:eastAsia="仿宋_GB2312" w:cs="仿宋_GB2312"/>
          <w:b w:val="0"/>
          <w:bCs w:val="0"/>
          <w:color w:val="auto"/>
          <w:sz w:val="32"/>
          <w:szCs w:val="32"/>
          <w:highlight w:val="none"/>
          <w:shd w:val="clear" w:color="auto" w:fill="FFFFFF"/>
          <w:lang w:eastAsia="zh-CN"/>
        </w:rPr>
        <w:t>（暂未正式发布</w:t>
      </w:r>
      <w:r>
        <w:rPr>
          <w:rFonts w:hint="eastAsia" w:ascii="仿宋_GB2312" w:hAnsi="仿宋_GB2312" w:eastAsia="仿宋_GB2312" w:cs="仿宋_GB2312"/>
          <w:b w:val="0"/>
          <w:bCs w:val="0"/>
          <w:color w:val="auto"/>
          <w:sz w:val="32"/>
          <w:szCs w:val="32"/>
          <w:highlight w:val="none"/>
          <w:shd w:val="clear" w:color="auto" w:fill="FFFFFF"/>
          <w:lang w:val="en-US" w:eastAsia="zh-CN"/>
        </w:rPr>
        <w:t>，简称《管理办法》</w:t>
      </w:r>
      <w:r>
        <w:rPr>
          <w:rFonts w:hint="eastAsia" w:ascii="仿宋_GB2312" w:hAnsi="仿宋_GB2312" w:eastAsia="仿宋_GB2312" w:cs="仿宋_GB2312"/>
          <w:b w:val="0"/>
          <w:bCs w:val="0"/>
          <w:color w:val="auto"/>
          <w:sz w:val="32"/>
          <w:szCs w:val="32"/>
          <w:highlight w:val="none"/>
          <w:shd w:val="clear" w:color="auto" w:fill="FFFFFF"/>
          <w:lang w:eastAsia="zh-CN"/>
        </w:rPr>
        <w:t>）</w:t>
      </w:r>
      <w:r>
        <w:rPr>
          <w:rFonts w:hint="eastAsia" w:ascii="仿宋_GB2312" w:hAnsi="仿宋_GB2312" w:eastAsia="仿宋_GB2312" w:cs="仿宋_GB2312"/>
          <w:color w:val="auto"/>
          <w:sz w:val="32"/>
          <w:szCs w:val="32"/>
          <w:highlight w:val="none"/>
          <w:lang w:val="en-US" w:eastAsia="zh-CN"/>
        </w:rPr>
        <w:t>的制订发布，</w:t>
      </w:r>
      <w:r>
        <w:rPr>
          <w:rFonts w:hint="eastAsia" w:ascii="仿宋_GB2312" w:eastAsia="仿宋_GB2312"/>
          <w:sz w:val="32"/>
          <w:szCs w:val="32"/>
          <w:lang w:eastAsia="zh-CN"/>
        </w:rPr>
        <w:t>《深圳市龙岗区经济与科技发展专项资金支持招商引资工作实施细则》（深龙工信</w:t>
      </w:r>
      <w:r>
        <w:rPr>
          <w:rFonts w:hint="eastAsia" w:ascii="仿宋_GB2312" w:eastAsia="仿宋_GB2312"/>
          <w:sz w:val="32"/>
          <w:szCs w:val="32"/>
          <w:lang w:val="en-US" w:eastAsia="zh-CN"/>
        </w:rPr>
        <w:t>[2020]14号，</w:t>
      </w:r>
      <w:r>
        <w:rPr>
          <w:rFonts w:hint="eastAsia" w:ascii="仿宋_GB2312" w:eastAsia="仿宋_GB2312"/>
          <w:sz w:val="32"/>
          <w:szCs w:val="32"/>
          <w:lang w:eastAsia="zh-CN"/>
        </w:rPr>
        <w:t>以下简称：现行《实施细则》）的上位法</w:t>
      </w:r>
      <w:r>
        <w:rPr>
          <w:rFonts w:hint="eastAsia" w:ascii="仿宋_GB2312" w:hAnsi="仿宋_GB2312" w:eastAsia="仿宋_GB2312" w:cs="仿宋_GB2312"/>
          <w:color w:val="auto"/>
          <w:sz w:val="32"/>
          <w:szCs w:val="32"/>
          <w:highlight w:val="none"/>
          <w:lang w:val="en-US" w:eastAsia="zh-CN"/>
        </w:rPr>
        <w:t>《深圳市龙岗区经济与科技发展专项资金管理办法》失效，故对</w:t>
      </w:r>
      <w:r>
        <w:rPr>
          <w:rFonts w:hint="eastAsia" w:ascii="仿宋_GB2312" w:eastAsia="仿宋_GB2312"/>
          <w:sz w:val="32"/>
          <w:szCs w:val="32"/>
          <w:lang w:eastAsia="zh-CN"/>
        </w:rPr>
        <w:t>现行《实施细则》相关内容予以修订，并对应更改名称为《深圳市龙岗区工业和信息化产业发展专项资金支持招商引资工作实施细则》（以下简称：《实施细则》）。</w:t>
      </w:r>
    </w:p>
    <w:p>
      <w:pPr>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二、修订的依据</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根据《</w:t>
      </w:r>
      <w:r>
        <w:rPr>
          <w:rFonts w:hint="eastAsia" w:ascii="仿宋_GB2312" w:hAnsi="仿宋_GB2312" w:eastAsia="仿宋_GB2312" w:cs="仿宋_GB2312"/>
          <w:color w:val="auto"/>
          <w:sz w:val="32"/>
          <w:szCs w:val="32"/>
          <w:highlight w:val="none"/>
          <w:lang w:val="en-US" w:eastAsia="zh-CN"/>
        </w:rPr>
        <w:t>深圳市龙岗区工业和信息化产业发展专项资金管理办法</w:t>
      </w:r>
      <w:r>
        <w:rPr>
          <w:rFonts w:hint="eastAsia" w:ascii="仿宋_GB2312" w:eastAsia="仿宋_GB2312"/>
          <w:sz w:val="32"/>
          <w:szCs w:val="32"/>
          <w:lang w:eastAsia="zh-CN"/>
        </w:rPr>
        <w:t>》，修订本《实施细则》。</w:t>
      </w:r>
    </w:p>
    <w:p>
      <w:pPr>
        <w:numPr>
          <w:ilvl w:val="0"/>
          <w:numId w:val="0"/>
        </w:numPr>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三、修订的主要内容</w:t>
      </w:r>
    </w:p>
    <w:p>
      <w:pPr>
        <w:numPr>
          <w:ilvl w:val="0"/>
          <w:numId w:val="0"/>
        </w:numPr>
        <w:ind w:firstLine="640"/>
        <w:rPr>
          <w:rFonts w:hint="eastAsia" w:ascii="仿宋_GB2312" w:eastAsia="仿宋_GB2312"/>
          <w:sz w:val="32"/>
          <w:szCs w:val="32"/>
          <w:lang w:val="en-US" w:eastAsia="zh-CN"/>
        </w:rPr>
      </w:pPr>
      <w:r>
        <w:rPr>
          <w:rFonts w:hint="eastAsia" w:ascii="仿宋_GB2312" w:eastAsia="仿宋_GB2312"/>
          <w:sz w:val="32"/>
          <w:szCs w:val="32"/>
          <w:lang w:val="en-US" w:eastAsia="zh-CN"/>
        </w:rPr>
        <w:t>修订后的《实施细则》共包括九章三十六条，涵盖重点引进产业项目落户奖励、租金扶持、装修扶持、新增投资扶持、产业链薄弱环节投资配套扶持、项目引荐人奖励、园区开展投资推广活动扶持共7个奖补事项。此次修订主要涉及如下内容：</w:t>
      </w:r>
    </w:p>
    <w:p>
      <w:pPr>
        <w:numPr>
          <w:ilvl w:val="0"/>
          <w:numId w:val="0"/>
        </w:numPr>
        <w:rPr>
          <w:rFonts w:hint="default" w:ascii="楷体" w:hAnsi="楷体" w:eastAsia="楷体" w:cs="楷体"/>
          <w:sz w:val="32"/>
          <w:szCs w:val="32"/>
          <w:lang w:val="en-US" w:eastAsia="zh-CN"/>
        </w:rPr>
      </w:pPr>
      <w:r>
        <w:rPr>
          <w:rFonts w:hint="eastAsia" w:ascii="楷体" w:hAnsi="楷体" w:eastAsia="楷体" w:cs="楷体"/>
          <w:sz w:val="32"/>
          <w:szCs w:val="32"/>
          <w:lang w:val="en-US" w:eastAsia="zh-CN"/>
        </w:rPr>
        <w:t xml:space="preserve">    （一）修改涉及上位法相关表述</w:t>
      </w:r>
    </w:p>
    <w:p>
      <w:pPr>
        <w:numPr>
          <w:ilvl w:val="0"/>
          <w:numId w:val="0"/>
        </w:num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对现行《实施细则》中涉及其上位法</w:t>
      </w:r>
      <w:r>
        <w:rPr>
          <w:rFonts w:hint="eastAsia" w:ascii="仿宋_GB2312" w:hAnsi="仿宋_GB2312" w:eastAsia="仿宋_GB2312" w:cs="仿宋_GB2312"/>
          <w:color w:val="auto"/>
          <w:sz w:val="32"/>
          <w:szCs w:val="32"/>
          <w:highlight w:val="none"/>
          <w:lang w:val="en-US" w:eastAsia="zh-CN"/>
        </w:rPr>
        <w:t>《深圳市龙岗区经济与科技发展专项资金管理办法》相关内容的表述方法予以</w:t>
      </w:r>
      <w:r>
        <w:rPr>
          <w:rFonts w:hint="eastAsia" w:ascii="仿宋_GB2312" w:eastAsia="仿宋_GB2312"/>
          <w:sz w:val="32"/>
          <w:szCs w:val="32"/>
          <w:lang w:eastAsia="zh-CN"/>
        </w:rPr>
        <w:t>修订，主要包括总则、原第八条、第二十一条及第二十二条等条款。</w:t>
      </w:r>
    </w:p>
    <w:p>
      <w:pPr>
        <w:numPr>
          <w:ilvl w:val="0"/>
          <w:numId w:val="0"/>
        </w:numPr>
        <w:rPr>
          <w:rFonts w:hint="default" w:ascii="楷体" w:hAnsi="楷体" w:eastAsia="楷体" w:cs="楷体"/>
          <w:sz w:val="32"/>
          <w:szCs w:val="32"/>
          <w:lang w:val="en-US" w:eastAsia="zh-CN"/>
        </w:rPr>
      </w:pPr>
      <w:r>
        <w:rPr>
          <w:rFonts w:hint="eastAsia" w:ascii="楷体" w:hAnsi="楷体" w:eastAsia="楷体" w:cs="楷体"/>
          <w:sz w:val="32"/>
          <w:szCs w:val="32"/>
          <w:lang w:val="en-US" w:eastAsia="zh-CN"/>
        </w:rPr>
        <w:t xml:space="preserve">    （二）删除一事一议事项</w:t>
      </w:r>
    </w:p>
    <w:p>
      <w:pPr>
        <w:numPr>
          <w:ilvl w:val="0"/>
          <w:numId w:val="0"/>
        </w:numPr>
        <w:ind w:firstLine="640" w:firstLineChars="200"/>
        <w:rPr>
          <w:rFonts w:hint="eastAsia" w:ascii="仿宋_GB2312" w:eastAsia="仿宋_GB2312"/>
          <w:sz w:val="32"/>
          <w:szCs w:val="32"/>
          <w:lang w:eastAsia="zh-CN"/>
        </w:rPr>
      </w:pPr>
      <w:r>
        <w:rPr>
          <w:rFonts w:hint="eastAsia" w:ascii="仿宋_GB2312" w:hAnsi="仿宋_GB2312" w:eastAsia="仿宋_GB2312" w:cs="仿宋_GB2312"/>
          <w:b w:val="0"/>
          <w:bCs w:val="0"/>
          <w:color w:val="auto"/>
          <w:sz w:val="32"/>
          <w:szCs w:val="32"/>
          <w:highlight w:val="none"/>
          <w:shd w:val="clear" w:color="auto" w:fill="FFFFFF"/>
          <w:lang w:val="en-US" w:eastAsia="zh-CN"/>
        </w:rPr>
        <w:t>《管理办法》</w:t>
      </w:r>
      <w:r>
        <w:rPr>
          <w:rFonts w:hint="eastAsia" w:ascii="仿宋_GB2312" w:hAnsi="仿宋_GB2312" w:eastAsia="仿宋_GB2312" w:cs="仿宋_GB2312"/>
          <w:color w:val="auto"/>
          <w:sz w:val="32"/>
          <w:szCs w:val="32"/>
          <w:highlight w:val="none"/>
          <w:lang w:val="en-US" w:eastAsia="zh-CN"/>
        </w:rPr>
        <w:t>第二十条规定，“区政府或其他上级部门有明确要求以及需经区政府批准同意的其他项目，由区政府常务会议批准并同意从本专项资金列支后执行”，如有涉及一事一议项目将按照《管理办法》执行，故对招商引资实施细则中一事一议奖励扶持事项予以删除。</w:t>
      </w:r>
    </w:p>
    <w:p>
      <w:pPr>
        <w:numPr>
          <w:ilvl w:val="0"/>
          <w:numId w:val="0"/>
        </w:numPr>
        <w:rPr>
          <w:rFonts w:hint="default" w:ascii="楷体" w:hAnsi="楷体" w:eastAsia="楷体" w:cs="楷体"/>
          <w:sz w:val="32"/>
          <w:szCs w:val="32"/>
          <w:lang w:val="en-US" w:eastAsia="zh-CN"/>
        </w:rPr>
      </w:pPr>
      <w:r>
        <w:rPr>
          <w:rFonts w:hint="eastAsia" w:ascii="楷体" w:hAnsi="楷体" w:eastAsia="楷体" w:cs="楷体"/>
          <w:sz w:val="32"/>
          <w:szCs w:val="32"/>
          <w:lang w:val="en-US" w:eastAsia="zh-CN"/>
        </w:rPr>
        <w:t xml:space="preserve">    （三）修订项目引荐人奖励相关表述</w:t>
      </w:r>
    </w:p>
    <w:p>
      <w:pPr>
        <w:numPr>
          <w:ilvl w:val="0"/>
          <w:numId w:val="0"/>
        </w:numPr>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1.修订后的《实施细则》第十二条突出强调了被引荐落户项目的注册地、纳税地和统计地应在龙岗区，确保了被引荐项目对我区的数税贡献。</w:t>
      </w:r>
    </w:p>
    <w:p>
      <w:pPr>
        <w:numPr>
          <w:ilvl w:val="0"/>
          <w:numId w:val="0"/>
        </w:num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2.修订后的</w:t>
      </w:r>
      <w:r>
        <w:rPr>
          <w:rFonts w:hint="eastAsia" w:ascii="仿宋_GB2312" w:eastAsia="仿宋_GB2312"/>
          <w:sz w:val="32"/>
          <w:szCs w:val="32"/>
          <w:lang w:eastAsia="zh-CN"/>
        </w:rPr>
        <w:t>《实施细则》第十四条对引进世界</w:t>
      </w:r>
      <w:r>
        <w:rPr>
          <w:rFonts w:hint="eastAsia" w:ascii="仿宋_GB2312" w:eastAsia="仿宋_GB2312"/>
          <w:sz w:val="32"/>
          <w:szCs w:val="32"/>
          <w:lang w:val="en-US" w:eastAsia="zh-CN"/>
        </w:rPr>
        <w:t>500强及中国500强相关法人机构的表述具体化至500强企业的一级子公司或二级子公司，提高了政策实操性。</w:t>
      </w:r>
    </w:p>
    <w:p>
      <w:pPr>
        <w:numPr>
          <w:ilvl w:val="0"/>
          <w:numId w:val="0"/>
        </w:num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3.由于修订后的《实施细则》已删除一事一议项目奖励扶持，故对应的一事一议项目引荐人奖励内容予以删除。</w:t>
      </w:r>
    </w:p>
    <w:p>
      <w:pPr>
        <w:numPr>
          <w:ilvl w:val="0"/>
          <w:numId w:val="0"/>
        </w:numPr>
        <w:ind w:firstLine="640" w:firstLineChars="200"/>
        <w:rPr>
          <w:rFonts w:hint="eastAsia" w:ascii="仿宋_GB2312" w:eastAsia="仿宋_GB2312"/>
          <w:sz w:val="32"/>
          <w:szCs w:val="32"/>
          <w:lang w:val="en-US" w:eastAsia="zh-CN"/>
        </w:rPr>
      </w:pPr>
      <w:r>
        <w:rPr>
          <w:rFonts w:hint="eastAsia" w:ascii="楷体" w:hAnsi="楷体" w:eastAsia="楷体" w:cs="楷体"/>
          <w:sz w:val="32"/>
          <w:szCs w:val="32"/>
          <w:lang w:val="en-US" w:eastAsia="zh-CN"/>
        </w:rPr>
        <w:t>4.</w:t>
      </w:r>
      <w:r>
        <w:rPr>
          <w:rFonts w:hint="eastAsia" w:ascii="仿宋_GB2312" w:eastAsia="仿宋_GB2312"/>
          <w:sz w:val="32"/>
          <w:szCs w:val="32"/>
          <w:lang w:val="en-US" w:eastAsia="zh-CN"/>
        </w:rPr>
        <w:t>现行《实施细则》第二十三条规定“引荐人如为具备龙岗区国企资金存放银行资格的商业银行，可叠加获得相应的存款支持，具体按照《深圳市龙岗区区属国有企业资金存放管理实施办法（试行）》（深龙国资规〔2020〕3号）执行”，由于该条款执行效果不佳，区属国企可供存放的资金紧张，且《深圳市龙岗区区属国有企业资金存放管理实施办法（试行）》1年后到期，故删除此条款。</w:t>
      </w:r>
    </w:p>
    <w:p>
      <w:pPr>
        <w:numPr>
          <w:ilvl w:val="0"/>
          <w:numId w:val="0"/>
        </w:numPr>
        <w:rPr>
          <w:rFonts w:hint="default" w:ascii="楷体" w:hAnsi="楷体" w:eastAsia="楷体" w:cs="楷体"/>
          <w:sz w:val="32"/>
          <w:szCs w:val="32"/>
          <w:lang w:val="en-US" w:eastAsia="zh-CN"/>
        </w:rPr>
      </w:pPr>
      <w:r>
        <w:rPr>
          <w:rFonts w:hint="eastAsia" w:ascii="楷体" w:hAnsi="楷体" w:eastAsia="楷体" w:cs="楷体"/>
          <w:sz w:val="32"/>
          <w:szCs w:val="32"/>
          <w:lang w:val="en-US" w:eastAsia="zh-CN"/>
        </w:rPr>
        <w:t xml:space="preserve">    （四）监督管理和绩效评价相关表述</w:t>
      </w:r>
    </w:p>
    <w:p>
      <w:pPr>
        <w:numPr>
          <w:ilvl w:val="0"/>
          <w:numId w:val="0"/>
        </w:num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根据国家及广东省社会信用管理相关规定，对不良行为信息归集管理方式及严重失信行为表述等做出调整，主要涉及现行《实施细则》第三十三条、第三十四条相关内容。</w:t>
      </w:r>
    </w:p>
    <w:p>
      <w:pPr>
        <w:numPr>
          <w:ilvl w:val="0"/>
          <w:numId w:val="1"/>
        </w:numPr>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修订后对财政投入的影响</w:t>
      </w:r>
    </w:p>
    <w:p>
      <w:pPr>
        <w:numPr>
          <w:ilvl w:val="0"/>
          <w:numId w:val="0"/>
        </w:numPr>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本次修订删除了一事一议项目奖励扶持事项，预计每年财政投入资金略减。</w:t>
      </w:r>
      <w:r>
        <w:rPr>
          <w:rFonts w:hint="eastAsia" w:ascii="华文仿宋" w:hAnsi="华文仿宋" w:eastAsia="华文仿宋" w:cs="华文仿宋"/>
          <w:color w:val="auto"/>
          <w:sz w:val="32"/>
          <w:szCs w:val="32"/>
          <w:highlight w:val="none"/>
          <w:lang w:eastAsia="zh-CN"/>
        </w:rPr>
        <w:t>我局预估《实施细则》修订后每年此项财政投入将在</w:t>
      </w:r>
      <w:r>
        <w:rPr>
          <w:rFonts w:hint="eastAsia" w:ascii="华文仿宋" w:hAnsi="华文仿宋" w:eastAsia="华文仿宋" w:cs="华文仿宋"/>
          <w:color w:val="auto"/>
          <w:sz w:val="32"/>
          <w:szCs w:val="32"/>
          <w:highlight w:val="none"/>
          <w:lang w:val="en-US" w:eastAsia="zh-CN"/>
        </w:rPr>
        <w:t>2000-2500万元区间内。</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特此说明。</w:t>
      </w:r>
    </w:p>
    <w:sectPr>
      <w:pgSz w:w="11906" w:h="16838"/>
      <w:pgMar w:top="1701" w:right="1474"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EA6D6"/>
    <w:multiLevelType w:val="singleLevel"/>
    <w:tmpl w:val="5EBEA6D6"/>
    <w:lvl w:ilvl="0" w:tentative="0">
      <w:start w:val="4"/>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C71C2C"/>
    <w:rsid w:val="01850C26"/>
    <w:rsid w:val="01A2313F"/>
    <w:rsid w:val="02F15898"/>
    <w:rsid w:val="09C957E8"/>
    <w:rsid w:val="0C463A08"/>
    <w:rsid w:val="0E037FC8"/>
    <w:rsid w:val="0F4F0269"/>
    <w:rsid w:val="107714D6"/>
    <w:rsid w:val="1144008F"/>
    <w:rsid w:val="119F63F8"/>
    <w:rsid w:val="12C75515"/>
    <w:rsid w:val="16747CB7"/>
    <w:rsid w:val="19DD020F"/>
    <w:rsid w:val="1B24030C"/>
    <w:rsid w:val="1BEA0887"/>
    <w:rsid w:val="1CAF40CE"/>
    <w:rsid w:val="1DAB5B94"/>
    <w:rsid w:val="1ED079C6"/>
    <w:rsid w:val="1F9C4731"/>
    <w:rsid w:val="2119052D"/>
    <w:rsid w:val="253F7B9C"/>
    <w:rsid w:val="25925171"/>
    <w:rsid w:val="27236372"/>
    <w:rsid w:val="27313187"/>
    <w:rsid w:val="277316E5"/>
    <w:rsid w:val="287D0A91"/>
    <w:rsid w:val="2AD42F8B"/>
    <w:rsid w:val="2B9C7199"/>
    <w:rsid w:val="2C454D87"/>
    <w:rsid w:val="2FD172A9"/>
    <w:rsid w:val="30612E1A"/>
    <w:rsid w:val="30A015B7"/>
    <w:rsid w:val="346D00CA"/>
    <w:rsid w:val="34E2095D"/>
    <w:rsid w:val="356A3105"/>
    <w:rsid w:val="36242923"/>
    <w:rsid w:val="36807F66"/>
    <w:rsid w:val="36BF2513"/>
    <w:rsid w:val="37754EE4"/>
    <w:rsid w:val="392D40BA"/>
    <w:rsid w:val="398B5247"/>
    <w:rsid w:val="3A5835E6"/>
    <w:rsid w:val="3DE265C1"/>
    <w:rsid w:val="3EE50586"/>
    <w:rsid w:val="3FE36CBD"/>
    <w:rsid w:val="40F40506"/>
    <w:rsid w:val="42FC56E1"/>
    <w:rsid w:val="43785440"/>
    <w:rsid w:val="44E2709C"/>
    <w:rsid w:val="46431083"/>
    <w:rsid w:val="47684294"/>
    <w:rsid w:val="47F55DF0"/>
    <w:rsid w:val="489802F4"/>
    <w:rsid w:val="4C305AD7"/>
    <w:rsid w:val="4ED868AD"/>
    <w:rsid w:val="4F101E12"/>
    <w:rsid w:val="529B7DC7"/>
    <w:rsid w:val="559E5396"/>
    <w:rsid w:val="573F1FB2"/>
    <w:rsid w:val="579B5CF2"/>
    <w:rsid w:val="57A8242E"/>
    <w:rsid w:val="596F763A"/>
    <w:rsid w:val="5B245017"/>
    <w:rsid w:val="5C0858B1"/>
    <w:rsid w:val="5DE65375"/>
    <w:rsid w:val="5E2A4F39"/>
    <w:rsid w:val="61714005"/>
    <w:rsid w:val="62BB5510"/>
    <w:rsid w:val="65862664"/>
    <w:rsid w:val="672902B8"/>
    <w:rsid w:val="67B62F67"/>
    <w:rsid w:val="6E685E6C"/>
    <w:rsid w:val="6F596442"/>
    <w:rsid w:val="6F6200FB"/>
    <w:rsid w:val="6F7574EE"/>
    <w:rsid w:val="720850B6"/>
    <w:rsid w:val="72A20E2E"/>
    <w:rsid w:val="72A45FAF"/>
    <w:rsid w:val="72B825E4"/>
    <w:rsid w:val="73532AE2"/>
    <w:rsid w:val="73B42D8C"/>
    <w:rsid w:val="7708157F"/>
    <w:rsid w:val="78517486"/>
    <w:rsid w:val="78C71C2C"/>
    <w:rsid w:val="78FF76FD"/>
    <w:rsid w:val="794F27DE"/>
    <w:rsid w:val="7BD761E4"/>
    <w:rsid w:val="7C203F6E"/>
    <w:rsid w:val="7E025362"/>
    <w:rsid w:val="7E405DE9"/>
    <w:rsid w:val="7ED139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2020-05-15T07:48:00Z</dcterms:created>
  <dc:creator>林美</dc:creator>
  <cp:lastModifiedBy>林美</cp:lastModifiedBy>
  <cp:lastPrinted>2021-06-09T01:50:00Z</cp:lastPrinted>
  <dcterms:modified xsi:type="dcterms:W3CDTF">2021-06-09T09:27:29Z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